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3645" w:rsidRDefault="00663645" w:rsidP="0060711B">
      <w:pPr>
        <w:spacing w:after="0" w:line="276" w:lineRule="auto"/>
        <w:jc w:val="both"/>
        <w:rPr>
          <w:rFonts w:ascii="Tahoma" w:hAnsi="Tahoma" w:cs="Tahoma"/>
          <w:b/>
          <w:sz w:val="24"/>
          <w:szCs w:val="24"/>
        </w:rPr>
      </w:pPr>
    </w:p>
    <w:p w:rsidR="009E0861" w:rsidRPr="0060711B" w:rsidRDefault="009E0861" w:rsidP="0060711B">
      <w:pPr>
        <w:spacing w:after="0" w:line="276" w:lineRule="auto"/>
        <w:jc w:val="both"/>
        <w:rPr>
          <w:rFonts w:ascii="Tahoma" w:hAnsi="Tahoma" w:cs="Tahoma"/>
          <w:b/>
          <w:sz w:val="24"/>
          <w:szCs w:val="24"/>
        </w:rPr>
      </w:pPr>
      <w:r w:rsidRPr="0060711B">
        <w:rPr>
          <w:rFonts w:ascii="Tahoma" w:hAnsi="Tahoma" w:cs="Tahoma"/>
          <w:b/>
          <w:sz w:val="24"/>
          <w:szCs w:val="24"/>
        </w:rPr>
        <w:t>VOTO PARTICULAR QUE FORMULA EL COMISIONADO LUIS GUSTAVO PARRA NORIEGA, EN RELACIÓN CON LA RESOLUCIÓN DEL RECURSO DE REVISIÓN 0</w:t>
      </w:r>
      <w:r w:rsidR="00D50D8F" w:rsidRPr="0060711B">
        <w:rPr>
          <w:rFonts w:ascii="Tahoma" w:hAnsi="Tahoma" w:cs="Tahoma"/>
          <w:b/>
          <w:sz w:val="24"/>
          <w:szCs w:val="24"/>
        </w:rPr>
        <w:t>2746</w:t>
      </w:r>
      <w:r w:rsidRPr="0060711B">
        <w:rPr>
          <w:rFonts w:ascii="Tahoma" w:hAnsi="Tahoma" w:cs="Tahoma"/>
          <w:b/>
          <w:sz w:val="24"/>
          <w:szCs w:val="24"/>
        </w:rPr>
        <w:t>/INFOEM/IP/RR/2018, PROMOVIDO EN CONTRA DE</w:t>
      </w:r>
      <w:r w:rsidR="00962B86" w:rsidRPr="0060711B">
        <w:rPr>
          <w:rFonts w:ascii="Tahoma" w:hAnsi="Tahoma" w:cs="Tahoma"/>
          <w:b/>
          <w:sz w:val="24"/>
          <w:szCs w:val="24"/>
        </w:rPr>
        <w:t>L AYUNTAMIENTO DE</w:t>
      </w:r>
      <w:r w:rsidR="0036006F" w:rsidRPr="0060711B">
        <w:rPr>
          <w:rFonts w:ascii="Tahoma" w:hAnsi="Tahoma" w:cs="Tahoma"/>
          <w:b/>
          <w:sz w:val="24"/>
          <w:szCs w:val="24"/>
        </w:rPr>
        <w:t xml:space="preserve"> </w:t>
      </w:r>
      <w:r w:rsidR="00D50D8F" w:rsidRPr="0060711B">
        <w:rPr>
          <w:rFonts w:ascii="Tahoma" w:hAnsi="Tahoma" w:cs="Tahoma"/>
          <w:b/>
          <w:sz w:val="24"/>
          <w:szCs w:val="24"/>
        </w:rPr>
        <w:t>NAUCALPAN</w:t>
      </w:r>
      <w:r w:rsidRPr="0060711B">
        <w:rPr>
          <w:rFonts w:ascii="Tahoma" w:hAnsi="Tahoma" w:cs="Tahoma"/>
          <w:b/>
          <w:sz w:val="24"/>
          <w:szCs w:val="24"/>
        </w:rPr>
        <w:t>.</w:t>
      </w:r>
    </w:p>
    <w:p w:rsidR="009E0861" w:rsidRPr="0060711B" w:rsidRDefault="009E0861" w:rsidP="0060711B">
      <w:pPr>
        <w:spacing w:after="0" w:line="276" w:lineRule="auto"/>
        <w:jc w:val="both"/>
        <w:rPr>
          <w:rFonts w:ascii="Tahoma" w:hAnsi="Tahoma" w:cs="Tahoma"/>
          <w:sz w:val="24"/>
          <w:szCs w:val="24"/>
        </w:rPr>
      </w:pPr>
    </w:p>
    <w:p w:rsidR="009E0861" w:rsidRPr="0060711B" w:rsidRDefault="009E0861" w:rsidP="0060711B">
      <w:pPr>
        <w:spacing w:after="0" w:line="276" w:lineRule="auto"/>
        <w:jc w:val="both"/>
        <w:rPr>
          <w:rFonts w:ascii="Tahoma" w:hAnsi="Tahoma" w:cs="Tahoma"/>
          <w:sz w:val="24"/>
          <w:szCs w:val="24"/>
        </w:rPr>
      </w:pPr>
      <w:r w:rsidRPr="0060711B">
        <w:rPr>
          <w:rFonts w:ascii="Tahoma" w:hAnsi="Tahoma" w:cs="Tahoma"/>
          <w:sz w:val="24"/>
          <w:szCs w:val="24"/>
        </w:rPr>
        <w:t xml:space="preserve">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31, segundo párrafo y 44 último párrafo, de los Lineamientos de las Sesiones del Pleno del Instituto de Transparencia, Acceso a la Información Pública y Protección de Datos Personales del Estado de México y Municipios, emito el presente </w:t>
      </w:r>
      <w:r w:rsidRPr="0060711B">
        <w:rPr>
          <w:rFonts w:ascii="Tahoma" w:hAnsi="Tahoma" w:cs="Tahoma"/>
          <w:b/>
          <w:sz w:val="24"/>
          <w:szCs w:val="24"/>
        </w:rPr>
        <w:t>Voto Particular</w:t>
      </w:r>
      <w:r w:rsidRPr="0060711B">
        <w:rPr>
          <w:rFonts w:ascii="Tahoma" w:hAnsi="Tahoma" w:cs="Tahoma"/>
          <w:sz w:val="24"/>
          <w:szCs w:val="24"/>
        </w:rPr>
        <w:t xml:space="preserve"> por no compartir en su totalidad las consideraciones que sustentan la Resolución del Recurso de Revisión </w:t>
      </w:r>
      <w:r w:rsidR="00D50D8F" w:rsidRPr="0060711B">
        <w:rPr>
          <w:rFonts w:ascii="Tahoma" w:hAnsi="Tahoma" w:cs="Tahoma"/>
          <w:sz w:val="24"/>
          <w:szCs w:val="24"/>
        </w:rPr>
        <w:t>02746/INFOEM/IP/RR/2018</w:t>
      </w:r>
      <w:r w:rsidRPr="0060711B">
        <w:rPr>
          <w:rFonts w:ascii="Tahoma" w:hAnsi="Tahoma" w:cs="Tahoma"/>
          <w:sz w:val="24"/>
          <w:szCs w:val="24"/>
        </w:rPr>
        <w:t>.</w:t>
      </w:r>
    </w:p>
    <w:p w:rsidR="009E0861" w:rsidRPr="0060711B" w:rsidRDefault="009E0861" w:rsidP="0060711B">
      <w:pPr>
        <w:spacing w:after="0" w:line="276" w:lineRule="auto"/>
        <w:jc w:val="both"/>
        <w:rPr>
          <w:rFonts w:ascii="Tahoma" w:hAnsi="Tahoma" w:cs="Tahoma"/>
          <w:sz w:val="24"/>
          <w:szCs w:val="24"/>
        </w:rPr>
      </w:pPr>
    </w:p>
    <w:p w:rsidR="00BD06FC" w:rsidRPr="0060711B" w:rsidRDefault="00EA7E26" w:rsidP="0060711B">
      <w:pPr>
        <w:spacing w:after="0" w:line="276" w:lineRule="auto"/>
        <w:jc w:val="both"/>
        <w:rPr>
          <w:rFonts w:ascii="Tahoma" w:hAnsi="Tahoma" w:cs="Tahoma"/>
          <w:sz w:val="24"/>
          <w:szCs w:val="24"/>
        </w:rPr>
      </w:pPr>
      <w:r w:rsidRPr="0060711B">
        <w:rPr>
          <w:rFonts w:ascii="Tahoma" w:hAnsi="Tahoma" w:cs="Tahoma"/>
          <w:sz w:val="24"/>
          <w:szCs w:val="24"/>
        </w:rPr>
        <w:t>C</w:t>
      </w:r>
      <w:r w:rsidR="009E0861" w:rsidRPr="0060711B">
        <w:rPr>
          <w:rFonts w:ascii="Tahoma" w:hAnsi="Tahoma" w:cs="Tahoma"/>
          <w:sz w:val="24"/>
          <w:szCs w:val="24"/>
        </w:rPr>
        <w:t xml:space="preserve">omo se desprende de la resolución </w:t>
      </w:r>
      <w:r w:rsidRPr="0060711B">
        <w:rPr>
          <w:rFonts w:ascii="Tahoma" w:hAnsi="Tahoma" w:cs="Tahoma"/>
          <w:sz w:val="24"/>
          <w:szCs w:val="24"/>
        </w:rPr>
        <w:t>que nos ocupa</w:t>
      </w:r>
      <w:r w:rsidR="009E0861" w:rsidRPr="0060711B">
        <w:rPr>
          <w:rFonts w:ascii="Tahoma" w:hAnsi="Tahoma" w:cs="Tahoma"/>
          <w:sz w:val="24"/>
          <w:szCs w:val="24"/>
        </w:rPr>
        <w:t>, el solicitante, requirió</w:t>
      </w:r>
      <w:r w:rsidR="00D50D8F" w:rsidRPr="0060711B">
        <w:rPr>
          <w:rFonts w:ascii="Tahoma" w:hAnsi="Tahoma" w:cs="Tahoma"/>
          <w:sz w:val="24"/>
          <w:szCs w:val="24"/>
        </w:rPr>
        <w:t xml:space="preserve"> </w:t>
      </w:r>
      <w:r w:rsidR="006F754E" w:rsidRPr="0060711B">
        <w:rPr>
          <w:rFonts w:ascii="Tahoma" w:hAnsi="Tahoma" w:cs="Tahoma"/>
          <w:sz w:val="24"/>
          <w:szCs w:val="24"/>
        </w:rPr>
        <w:t xml:space="preserve">cierta información </w:t>
      </w:r>
      <w:r w:rsidR="00D50D8F" w:rsidRPr="0060711B">
        <w:rPr>
          <w:rFonts w:ascii="Tahoma" w:hAnsi="Tahoma" w:cs="Tahoma"/>
          <w:sz w:val="24"/>
          <w:szCs w:val="24"/>
        </w:rPr>
        <w:t xml:space="preserve">sobre </w:t>
      </w:r>
      <w:r w:rsidR="00B63634" w:rsidRPr="0060711B">
        <w:rPr>
          <w:rFonts w:ascii="Tahoma" w:hAnsi="Tahoma" w:cs="Tahoma"/>
          <w:sz w:val="24"/>
          <w:szCs w:val="24"/>
        </w:rPr>
        <w:t>dos predios ubicados dentro del Municipio;</w:t>
      </w:r>
      <w:r w:rsidR="00D50D8F" w:rsidRPr="0060711B">
        <w:rPr>
          <w:rFonts w:ascii="Tahoma" w:hAnsi="Tahoma" w:cs="Tahoma"/>
          <w:sz w:val="24"/>
          <w:szCs w:val="24"/>
        </w:rPr>
        <w:t xml:space="preserve"> </w:t>
      </w:r>
      <w:r w:rsidR="00B63634" w:rsidRPr="0060711B">
        <w:rPr>
          <w:rFonts w:ascii="Tahoma" w:hAnsi="Tahoma" w:cs="Tahoma"/>
          <w:sz w:val="24"/>
          <w:szCs w:val="24"/>
        </w:rPr>
        <w:t xml:space="preserve">del </w:t>
      </w:r>
      <w:r w:rsidR="006F754E" w:rsidRPr="0060711B">
        <w:rPr>
          <w:rFonts w:ascii="Tahoma" w:hAnsi="Tahoma" w:cs="Tahoma"/>
          <w:sz w:val="24"/>
          <w:szCs w:val="24"/>
        </w:rPr>
        <w:t xml:space="preserve">primer </w:t>
      </w:r>
      <w:r w:rsidR="00B63634" w:rsidRPr="0060711B">
        <w:rPr>
          <w:rFonts w:ascii="Tahoma" w:hAnsi="Tahoma" w:cs="Tahoma"/>
          <w:sz w:val="24"/>
          <w:szCs w:val="24"/>
        </w:rPr>
        <w:t>predio</w:t>
      </w:r>
      <w:r w:rsidR="006F754E" w:rsidRPr="0060711B">
        <w:rPr>
          <w:rFonts w:ascii="Tahoma" w:hAnsi="Tahoma" w:cs="Tahoma"/>
          <w:sz w:val="24"/>
          <w:szCs w:val="24"/>
        </w:rPr>
        <w:t xml:space="preserve">: 1) </w:t>
      </w:r>
      <w:r w:rsidR="00D50D8F" w:rsidRPr="0060711B">
        <w:rPr>
          <w:rFonts w:ascii="Tahoma" w:hAnsi="Tahoma" w:cs="Tahoma"/>
          <w:sz w:val="24"/>
          <w:szCs w:val="24"/>
        </w:rPr>
        <w:t xml:space="preserve">conocer si </w:t>
      </w:r>
      <w:r w:rsidR="006F754E" w:rsidRPr="0060711B">
        <w:rPr>
          <w:rFonts w:ascii="Tahoma" w:hAnsi="Tahoma" w:cs="Tahoma"/>
          <w:sz w:val="24"/>
          <w:szCs w:val="24"/>
        </w:rPr>
        <w:t xml:space="preserve">la  propiedad pertenece al </w:t>
      </w:r>
      <w:r w:rsidR="00D50D8F" w:rsidRPr="0060711B">
        <w:rPr>
          <w:rFonts w:ascii="Tahoma" w:hAnsi="Tahoma" w:cs="Tahoma"/>
          <w:sz w:val="24"/>
          <w:szCs w:val="24"/>
        </w:rPr>
        <w:t xml:space="preserve">Ayuntamiento de Naucalpan, si fuera positiva la respuesta, acreditar la propiedad, </w:t>
      </w:r>
      <w:r w:rsidR="006F754E" w:rsidRPr="0060711B">
        <w:rPr>
          <w:rFonts w:ascii="Tahoma" w:hAnsi="Tahoma" w:cs="Tahoma"/>
          <w:sz w:val="24"/>
          <w:szCs w:val="24"/>
        </w:rPr>
        <w:t xml:space="preserve">2) </w:t>
      </w:r>
      <w:r w:rsidR="00D50D8F" w:rsidRPr="0060711B">
        <w:rPr>
          <w:rFonts w:ascii="Tahoma" w:hAnsi="Tahoma" w:cs="Tahoma"/>
          <w:sz w:val="24"/>
          <w:szCs w:val="24"/>
        </w:rPr>
        <w:t xml:space="preserve">saber si el predio ha sido objeto de donación o comodato entre el Ayuntamiento y un particular, </w:t>
      </w:r>
      <w:r w:rsidR="006F754E" w:rsidRPr="0060711B">
        <w:rPr>
          <w:rFonts w:ascii="Tahoma" w:hAnsi="Tahoma" w:cs="Tahoma"/>
          <w:sz w:val="24"/>
          <w:szCs w:val="24"/>
        </w:rPr>
        <w:t xml:space="preserve">3) </w:t>
      </w:r>
      <w:r w:rsidR="00D50D8F" w:rsidRPr="0060711B">
        <w:rPr>
          <w:rFonts w:ascii="Tahoma" w:hAnsi="Tahoma" w:cs="Tahoma"/>
          <w:sz w:val="24"/>
          <w:szCs w:val="24"/>
        </w:rPr>
        <w:t xml:space="preserve">la forma mediante la cual se acredita el otorgamiento de la propiedad, </w:t>
      </w:r>
      <w:r w:rsidR="006F754E" w:rsidRPr="0060711B">
        <w:rPr>
          <w:rFonts w:ascii="Tahoma" w:hAnsi="Tahoma" w:cs="Tahoma"/>
          <w:sz w:val="24"/>
          <w:szCs w:val="24"/>
        </w:rPr>
        <w:t xml:space="preserve">4) </w:t>
      </w:r>
      <w:r w:rsidR="00D50D8F" w:rsidRPr="0060711B">
        <w:rPr>
          <w:rFonts w:ascii="Tahoma" w:hAnsi="Tahoma" w:cs="Tahoma"/>
          <w:sz w:val="24"/>
          <w:szCs w:val="24"/>
        </w:rPr>
        <w:t>informar sobre el pago de contribuciones correspondientes al pago de agua y predial así como l</w:t>
      </w:r>
      <w:r w:rsidR="006F754E" w:rsidRPr="0060711B">
        <w:rPr>
          <w:rFonts w:ascii="Tahoma" w:hAnsi="Tahoma" w:cs="Tahoma"/>
          <w:sz w:val="24"/>
          <w:szCs w:val="24"/>
        </w:rPr>
        <w:t>os documentos que lo acrediten, 5)</w:t>
      </w:r>
      <w:r w:rsidR="00D50D8F" w:rsidRPr="0060711B">
        <w:rPr>
          <w:rFonts w:ascii="Tahoma" w:hAnsi="Tahoma" w:cs="Tahoma"/>
          <w:sz w:val="24"/>
          <w:szCs w:val="24"/>
        </w:rPr>
        <w:t xml:space="preserve"> si el predio cuenta con alguna licencia de construcción o de cambio de uso de suelo</w:t>
      </w:r>
      <w:r w:rsidR="006F754E" w:rsidRPr="0060711B">
        <w:rPr>
          <w:rFonts w:ascii="Tahoma" w:hAnsi="Tahoma" w:cs="Tahoma"/>
          <w:sz w:val="24"/>
          <w:szCs w:val="24"/>
        </w:rPr>
        <w:t xml:space="preserve"> y las versiones públicas de estos documentos correspondientes</w:t>
      </w:r>
      <w:r w:rsidR="00D50D8F" w:rsidRPr="0060711B">
        <w:rPr>
          <w:rFonts w:ascii="Tahoma" w:hAnsi="Tahoma" w:cs="Tahoma"/>
          <w:sz w:val="24"/>
          <w:szCs w:val="24"/>
        </w:rPr>
        <w:t>. De</w:t>
      </w:r>
      <w:r w:rsidR="00B63634" w:rsidRPr="0060711B">
        <w:rPr>
          <w:rFonts w:ascii="Tahoma" w:hAnsi="Tahoma" w:cs="Tahoma"/>
          <w:sz w:val="24"/>
          <w:szCs w:val="24"/>
        </w:rPr>
        <w:t>l segundo predio</w:t>
      </w:r>
      <w:r w:rsidR="006F754E" w:rsidRPr="0060711B">
        <w:rPr>
          <w:rFonts w:ascii="Tahoma" w:hAnsi="Tahoma" w:cs="Tahoma"/>
          <w:sz w:val="24"/>
          <w:szCs w:val="24"/>
        </w:rPr>
        <w:t>: 1) Documentación relacionada con el pago</w:t>
      </w:r>
      <w:r w:rsidR="00D50D8F" w:rsidRPr="0060711B">
        <w:rPr>
          <w:rFonts w:ascii="Tahoma" w:hAnsi="Tahoma" w:cs="Tahoma"/>
          <w:sz w:val="24"/>
          <w:szCs w:val="24"/>
        </w:rPr>
        <w:t xml:space="preserve"> </w:t>
      </w:r>
      <w:r w:rsidR="006F754E" w:rsidRPr="0060711B">
        <w:rPr>
          <w:rFonts w:ascii="Tahoma" w:hAnsi="Tahoma" w:cs="Tahoma"/>
          <w:sz w:val="24"/>
          <w:szCs w:val="24"/>
        </w:rPr>
        <w:t xml:space="preserve">del </w:t>
      </w:r>
      <w:r w:rsidR="00D50D8F" w:rsidRPr="0060711B">
        <w:rPr>
          <w:rFonts w:ascii="Tahoma" w:hAnsi="Tahoma" w:cs="Tahoma"/>
          <w:sz w:val="24"/>
          <w:szCs w:val="24"/>
        </w:rPr>
        <w:t xml:space="preserve">impuesto predial y derechos de agua anexando la versión pública </w:t>
      </w:r>
      <w:r w:rsidR="006F754E" w:rsidRPr="0060711B">
        <w:rPr>
          <w:rFonts w:ascii="Tahoma" w:hAnsi="Tahoma" w:cs="Tahoma"/>
          <w:sz w:val="24"/>
          <w:szCs w:val="24"/>
        </w:rPr>
        <w:t xml:space="preserve">y 2) saber si el predio cuenta con alguna licencia </w:t>
      </w:r>
      <w:r w:rsidR="00D50D8F" w:rsidRPr="0060711B">
        <w:rPr>
          <w:rFonts w:ascii="Tahoma" w:hAnsi="Tahoma" w:cs="Tahoma"/>
          <w:sz w:val="24"/>
          <w:szCs w:val="24"/>
        </w:rPr>
        <w:t xml:space="preserve">de construcción y/o de cambio de uso de suelo </w:t>
      </w:r>
      <w:r w:rsidR="006F754E" w:rsidRPr="0060711B">
        <w:rPr>
          <w:rFonts w:ascii="Tahoma" w:hAnsi="Tahoma" w:cs="Tahoma"/>
          <w:sz w:val="24"/>
          <w:szCs w:val="24"/>
        </w:rPr>
        <w:t xml:space="preserve">y en su caso la </w:t>
      </w:r>
      <w:r w:rsidR="00D50D8F" w:rsidRPr="0060711B">
        <w:rPr>
          <w:rFonts w:ascii="Tahoma" w:hAnsi="Tahoma" w:cs="Tahoma"/>
          <w:sz w:val="24"/>
          <w:szCs w:val="24"/>
        </w:rPr>
        <w:t xml:space="preserve"> versión pública</w:t>
      </w:r>
      <w:r w:rsidR="006F754E" w:rsidRPr="0060711B">
        <w:rPr>
          <w:rFonts w:ascii="Tahoma" w:hAnsi="Tahoma" w:cs="Tahoma"/>
          <w:sz w:val="24"/>
          <w:szCs w:val="24"/>
        </w:rPr>
        <w:t xml:space="preserve"> de los documentos</w:t>
      </w:r>
      <w:r w:rsidR="00D50D8F" w:rsidRPr="0060711B">
        <w:rPr>
          <w:rFonts w:ascii="Tahoma" w:hAnsi="Tahoma" w:cs="Tahoma"/>
          <w:sz w:val="24"/>
          <w:szCs w:val="24"/>
        </w:rPr>
        <w:t xml:space="preserve">. </w:t>
      </w:r>
      <w:r w:rsidR="004B08C4" w:rsidRPr="0060711B">
        <w:rPr>
          <w:rFonts w:ascii="Tahoma" w:hAnsi="Tahoma" w:cs="Tahoma"/>
          <w:sz w:val="24"/>
          <w:szCs w:val="24"/>
        </w:rPr>
        <w:t xml:space="preserve"> </w:t>
      </w:r>
      <w:r w:rsidR="00BD06FC" w:rsidRPr="0060711B">
        <w:rPr>
          <w:rFonts w:ascii="Tahoma" w:hAnsi="Tahoma" w:cs="Tahoma"/>
          <w:sz w:val="24"/>
          <w:szCs w:val="24"/>
        </w:rPr>
        <w:t xml:space="preserve">En atención a la solicitud de información, el </w:t>
      </w:r>
      <w:r w:rsidR="004B08C4" w:rsidRPr="0060711B">
        <w:rPr>
          <w:rFonts w:ascii="Tahoma" w:hAnsi="Tahoma" w:cs="Tahoma"/>
          <w:sz w:val="24"/>
          <w:szCs w:val="24"/>
        </w:rPr>
        <w:t>S</w:t>
      </w:r>
      <w:r w:rsidR="00BD06FC" w:rsidRPr="0060711B">
        <w:rPr>
          <w:rFonts w:ascii="Tahoma" w:hAnsi="Tahoma" w:cs="Tahoma"/>
          <w:sz w:val="24"/>
          <w:szCs w:val="24"/>
        </w:rPr>
        <w:t xml:space="preserve">ujeto </w:t>
      </w:r>
      <w:r w:rsidR="004B08C4" w:rsidRPr="0060711B">
        <w:rPr>
          <w:rFonts w:ascii="Tahoma" w:hAnsi="Tahoma" w:cs="Tahoma"/>
          <w:sz w:val="24"/>
          <w:szCs w:val="24"/>
        </w:rPr>
        <w:t>O</w:t>
      </w:r>
      <w:r w:rsidR="00BD06FC" w:rsidRPr="0060711B">
        <w:rPr>
          <w:rFonts w:ascii="Tahoma" w:hAnsi="Tahoma" w:cs="Tahoma"/>
          <w:sz w:val="24"/>
          <w:szCs w:val="24"/>
        </w:rPr>
        <w:t xml:space="preserve">bligado </w:t>
      </w:r>
      <w:r w:rsidR="007D68AF" w:rsidRPr="0060711B">
        <w:rPr>
          <w:rFonts w:ascii="Tahoma" w:hAnsi="Tahoma" w:cs="Tahoma"/>
          <w:sz w:val="24"/>
          <w:szCs w:val="24"/>
        </w:rPr>
        <w:t>mediante Sesión de Comité de Transparencia declaro la inexistencia de la información solicitada.</w:t>
      </w:r>
      <w:r w:rsidR="00BD06FC" w:rsidRPr="0060711B">
        <w:rPr>
          <w:rFonts w:ascii="Tahoma" w:hAnsi="Tahoma" w:cs="Tahoma"/>
          <w:sz w:val="24"/>
          <w:szCs w:val="24"/>
        </w:rPr>
        <w:t xml:space="preserve"> </w:t>
      </w:r>
    </w:p>
    <w:p w:rsidR="00333B7A" w:rsidRPr="0060711B" w:rsidRDefault="00333B7A" w:rsidP="0060711B">
      <w:pPr>
        <w:spacing w:after="0" w:line="276" w:lineRule="auto"/>
        <w:jc w:val="both"/>
        <w:rPr>
          <w:rFonts w:ascii="Tahoma" w:hAnsi="Tahoma" w:cs="Tahoma"/>
          <w:sz w:val="24"/>
          <w:szCs w:val="24"/>
        </w:rPr>
      </w:pPr>
    </w:p>
    <w:p w:rsidR="00333B7A" w:rsidRPr="0060711B" w:rsidRDefault="00333B7A" w:rsidP="0060711B">
      <w:pPr>
        <w:spacing w:after="0" w:line="276" w:lineRule="auto"/>
        <w:jc w:val="both"/>
        <w:rPr>
          <w:rFonts w:ascii="Tahoma" w:hAnsi="Tahoma" w:cs="Tahoma"/>
          <w:sz w:val="24"/>
          <w:szCs w:val="24"/>
        </w:rPr>
      </w:pPr>
      <w:r w:rsidRPr="0060711B">
        <w:rPr>
          <w:rFonts w:ascii="Tahoma" w:hAnsi="Tahoma" w:cs="Tahoma"/>
          <w:sz w:val="24"/>
          <w:szCs w:val="24"/>
        </w:rPr>
        <w:t xml:space="preserve">Inconforme con la respuesta, el particular señaló como agravio </w:t>
      </w:r>
      <w:r w:rsidR="007D68AF" w:rsidRPr="0060711B">
        <w:rPr>
          <w:rFonts w:ascii="Tahoma" w:hAnsi="Tahoma" w:cs="Tahoma"/>
          <w:sz w:val="24"/>
          <w:szCs w:val="24"/>
        </w:rPr>
        <w:t xml:space="preserve">la inexistencia de la información </w:t>
      </w:r>
      <w:r w:rsidR="0002627D" w:rsidRPr="0060711B">
        <w:rPr>
          <w:rFonts w:ascii="Tahoma" w:hAnsi="Tahoma" w:cs="Tahoma"/>
          <w:sz w:val="24"/>
          <w:szCs w:val="24"/>
        </w:rPr>
        <w:t>manifestada por el S</w:t>
      </w:r>
      <w:r w:rsidRPr="0060711B">
        <w:rPr>
          <w:rFonts w:ascii="Tahoma" w:hAnsi="Tahoma" w:cs="Tahoma"/>
          <w:sz w:val="24"/>
          <w:szCs w:val="24"/>
        </w:rPr>
        <w:t xml:space="preserve">ujeto </w:t>
      </w:r>
      <w:r w:rsidR="0002627D" w:rsidRPr="0060711B">
        <w:rPr>
          <w:rFonts w:ascii="Tahoma" w:hAnsi="Tahoma" w:cs="Tahoma"/>
          <w:sz w:val="24"/>
          <w:szCs w:val="24"/>
        </w:rPr>
        <w:t>O</w:t>
      </w:r>
      <w:r w:rsidRPr="0060711B">
        <w:rPr>
          <w:rFonts w:ascii="Tahoma" w:hAnsi="Tahoma" w:cs="Tahoma"/>
          <w:sz w:val="24"/>
          <w:szCs w:val="24"/>
        </w:rPr>
        <w:t xml:space="preserve">bligado, pues a su consideración, este </w:t>
      </w:r>
      <w:r w:rsidR="007D68AF" w:rsidRPr="0060711B">
        <w:rPr>
          <w:rFonts w:ascii="Tahoma" w:hAnsi="Tahoma" w:cs="Tahoma"/>
          <w:sz w:val="24"/>
          <w:szCs w:val="24"/>
        </w:rPr>
        <w:t xml:space="preserve">no realizo una valoración de toda la información solicitada. </w:t>
      </w:r>
      <w:r w:rsidR="00BC55D2" w:rsidRPr="0060711B">
        <w:rPr>
          <w:rFonts w:ascii="Tahoma" w:hAnsi="Tahoma" w:cs="Tahoma"/>
          <w:sz w:val="24"/>
          <w:szCs w:val="24"/>
        </w:rPr>
        <w:t>U</w:t>
      </w:r>
      <w:r w:rsidR="009E0861" w:rsidRPr="0060711B">
        <w:rPr>
          <w:rFonts w:ascii="Tahoma" w:hAnsi="Tahoma" w:cs="Tahoma"/>
          <w:sz w:val="24"/>
          <w:szCs w:val="24"/>
        </w:rPr>
        <w:t xml:space="preserve">na vez admitido y </w:t>
      </w:r>
      <w:r w:rsidR="009E0861" w:rsidRPr="0060711B">
        <w:rPr>
          <w:rFonts w:ascii="Tahoma" w:hAnsi="Tahoma" w:cs="Tahoma"/>
          <w:sz w:val="24"/>
          <w:szCs w:val="24"/>
        </w:rPr>
        <w:lastRenderedPageBreak/>
        <w:t xml:space="preserve">notificado a las partes el medio de impugnación que nos ocupa, el </w:t>
      </w:r>
      <w:r w:rsidR="009039FE" w:rsidRPr="0060711B">
        <w:rPr>
          <w:rFonts w:ascii="Tahoma" w:hAnsi="Tahoma" w:cs="Tahoma"/>
          <w:sz w:val="24"/>
          <w:szCs w:val="24"/>
        </w:rPr>
        <w:t>Sujeto Obligado</w:t>
      </w:r>
      <w:r w:rsidR="009E0861" w:rsidRPr="0060711B">
        <w:rPr>
          <w:rFonts w:ascii="Tahoma" w:hAnsi="Tahoma" w:cs="Tahoma"/>
          <w:sz w:val="24"/>
          <w:szCs w:val="24"/>
        </w:rPr>
        <w:t xml:space="preserve">, mediante informe justificado, </w:t>
      </w:r>
      <w:r w:rsidR="007D68AF" w:rsidRPr="0060711B">
        <w:rPr>
          <w:rFonts w:ascii="Tahoma" w:hAnsi="Tahoma" w:cs="Tahoma"/>
          <w:sz w:val="24"/>
          <w:szCs w:val="24"/>
        </w:rPr>
        <w:t xml:space="preserve">entrega parte de la información solicitada y respecto </w:t>
      </w:r>
      <w:r w:rsidR="00B63634" w:rsidRPr="0060711B">
        <w:rPr>
          <w:rFonts w:ascii="Tahoma" w:hAnsi="Tahoma" w:cs="Tahoma"/>
          <w:sz w:val="24"/>
          <w:szCs w:val="24"/>
        </w:rPr>
        <w:t>del pago del p</w:t>
      </w:r>
      <w:r w:rsidR="0036006F" w:rsidRPr="0060711B">
        <w:rPr>
          <w:rFonts w:ascii="Tahoma" w:hAnsi="Tahoma" w:cs="Tahoma"/>
          <w:sz w:val="24"/>
          <w:szCs w:val="24"/>
        </w:rPr>
        <w:t xml:space="preserve">ago de derechos por servicio de agua </w:t>
      </w:r>
      <w:r w:rsidR="00B63634" w:rsidRPr="0060711B">
        <w:rPr>
          <w:rFonts w:ascii="Tahoma" w:hAnsi="Tahoma" w:cs="Tahoma"/>
          <w:sz w:val="24"/>
          <w:szCs w:val="24"/>
        </w:rPr>
        <w:t xml:space="preserve">indica que la </w:t>
      </w:r>
      <w:r w:rsidR="0036006F" w:rsidRPr="0060711B">
        <w:rPr>
          <w:rFonts w:ascii="Tahoma" w:hAnsi="Tahoma" w:cs="Tahoma"/>
          <w:sz w:val="24"/>
          <w:szCs w:val="24"/>
        </w:rPr>
        <w:t>competencia</w:t>
      </w:r>
      <w:r w:rsidR="00B63634" w:rsidRPr="0060711B">
        <w:rPr>
          <w:rFonts w:ascii="Tahoma" w:hAnsi="Tahoma" w:cs="Tahoma"/>
          <w:sz w:val="24"/>
          <w:szCs w:val="24"/>
        </w:rPr>
        <w:t xml:space="preserve"> es</w:t>
      </w:r>
      <w:r w:rsidR="0036006F" w:rsidRPr="0060711B">
        <w:rPr>
          <w:rFonts w:ascii="Tahoma" w:hAnsi="Tahoma" w:cs="Tahoma"/>
          <w:sz w:val="24"/>
          <w:szCs w:val="24"/>
        </w:rPr>
        <w:t xml:space="preserve"> del Organismo Público para la Prestación de los Servicios de Agua Potable, Alcantarillado y Saneamiento del Municipio de Naucalpan (OAPAS).  </w:t>
      </w:r>
    </w:p>
    <w:p w:rsidR="007D68AF" w:rsidRPr="0060711B" w:rsidRDefault="007D68AF" w:rsidP="0060711B">
      <w:pPr>
        <w:spacing w:after="0" w:line="276" w:lineRule="auto"/>
        <w:jc w:val="both"/>
        <w:rPr>
          <w:rFonts w:ascii="Tahoma" w:hAnsi="Tahoma" w:cs="Tahoma"/>
          <w:sz w:val="24"/>
          <w:szCs w:val="24"/>
        </w:rPr>
      </w:pPr>
    </w:p>
    <w:p w:rsidR="00333B7A" w:rsidRPr="0060711B" w:rsidRDefault="00333B7A" w:rsidP="0060711B">
      <w:pPr>
        <w:spacing w:after="0" w:line="276" w:lineRule="auto"/>
        <w:jc w:val="both"/>
        <w:rPr>
          <w:rFonts w:ascii="Tahoma" w:hAnsi="Tahoma" w:cs="Tahoma"/>
          <w:sz w:val="24"/>
          <w:szCs w:val="24"/>
        </w:rPr>
      </w:pPr>
      <w:r w:rsidRPr="0060711B">
        <w:rPr>
          <w:rFonts w:ascii="Tahoma" w:hAnsi="Tahoma" w:cs="Tahoma"/>
          <w:sz w:val="24"/>
          <w:szCs w:val="24"/>
        </w:rPr>
        <w:t>De ahí que, mediante un análisis exhaustivo, fundado y motivado, la Ponencia abordó la incomp</w:t>
      </w:r>
      <w:r w:rsidR="008A0447" w:rsidRPr="0060711B">
        <w:rPr>
          <w:rFonts w:ascii="Tahoma" w:hAnsi="Tahoma" w:cs="Tahoma"/>
          <w:sz w:val="24"/>
          <w:szCs w:val="24"/>
        </w:rPr>
        <w:t>etencia manifestada por el S</w:t>
      </w:r>
      <w:r w:rsidRPr="0060711B">
        <w:rPr>
          <w:rFonts w:ascii="Tahoma" w:hAnsi="Tahoma" w:cs="Tahoma"/>
          <w:sz w:val="24"/>
          <w:szCs w:val="24"/>
        </w:rPr>
        <w:t xml:space="preserve">ujeto </w:t>
      </w:r>
      <w:r w:rsidR="008A0447" w:rsidRPr="0060711B">
        <w:rPr>
          <w:rFonts w:ascii="Tahoma" w:hAnsi="Tahoma" w:cs="Tahoma"/>
          <w:sz w:val="24"/>
          <w:szCs w:val="24"/>
        </w:rPr>
        <w:t>O</w:t>
      </w:r>
      <w:r w:rsidRPr="0060711B">
        <w:rPr>
          <w:rFonts w:ascii="Tahoma" w:hAnsi="Tahoma" w:cs="Tahoma"/>
          <w:sz w:val="24"/>
          <w:szCs w:val="24"/>
        </w:rPr>
        <w:t xml:space="preserve">bligado y, arribó a la conclusión de que en efecto, el Ayuntamiento de </w:t>
      </w:r>
      <w:r w:rsidR="0036006F" w:rsidRPr="0060711B">
        <w:rPr>
          <w:rFonts w:ascii="Tahoma" w:hAnsi="Tahoma" w:cs="Tahoma"/>
          <w:sz w:val="24"/>
          <w:szCs w:val="24"/>
        </w:rPr>
        <w:t xml:space="preserve">Naucalpan </w:t>
      </w:r>
      <w:r w:rsidRPr="0060711B">
        <w:rPr>
          <w:rFonts w:ascii="Tahoma" w:hAnsi="Tahoma" w:cs="Tahoma"/>
          <w:sz w:val="24"/>
          <w:szCs w:val="24"/>
        </w:rPr>
        <w:t>carece de atribuciones y/o competencias para generar o poseer la informaci</w:t>
      </w:r>
      <w:r w:rsidR="0036006F" w:rsidRPr="0060711B">
        <w:rPr>
          <w:rFonts w:ascii="Tahoma" w:hAnsi="Tahoma" w:cs="Tahoma"/>
          <w:sz w:val="24"/>
          <w:szCs w:val="24"/>
        </w:rPr>
        <w:t xml:space="preserve">ón requerida por el solicitante referente a la información del pago de derechos por servicios </w:t>
      </w:r>
      <w:r w:rsidR="006F754E" w:rsidRPr="0060711B">
        <w:rPr>
          <w:rFonts w:ascii="Tahoma" w:hAnsi="Tahoma" w:cs="Tahoma"/>
          <w:sz w:val="24"/>
          <w:szCs w:val="24"/>
        </w:rPr>
        <w:t>de agua de los dos predios en cuestión</w:t>
      </w:r>
      <w:r w:rsidR="00B63634" w:rsidRPr="0060711B">
        <w:rPr>
          <w:rFonts w:ascii="Tahoma" w:hAnsi="Tahoma" w:cs="Tahoma"/>
          <w:sz w:val="24"/>
          <w:szCs w:val="24"/>
        </w:rPr>
        <w:t xml:space="preserve"> y respecto del pago del impuesto predial, indic</w:t>
      </w:r>
      <w:r w:rsidR="006A06FC">
        <w:rPr>
          <w:rFonts w:ascii="Tahoma" w:hAnsi="Tahoma" w:cs="Tahoma"/>
          <w:sz w:val="24"/>
          <w:szCs w:val="24"/>
        </w:rPr>
        <w:t>ó</w:t>
      </w:r>
      <w:bookmarkStart w:id="0" w:name="_GoBack"/>
      <w:bookmarkEnd w:id="0"/>
      <w:r w:rsidR="00B63634" w:rsidRPr="0060711B">
        <w:rPr>
          <w:rFonts w:ascii="Tahoma" w:hAnsi="Tahoma" w:cs="Tahoma"/>
          <w:sz w:val="24"/>
          <w:szCs w:val="24"/>
        </w:rPr>
        <w:t xml:space="preserve"> que debe clasificarse con fundamento en el artículo 143, fracción I, de la Ley de Transparencia y Acceso a la Información Pública del Estado de México y Municipios.</w:t>
      </w:r>
    </w:p>
    <w:p w:rsidR="00D07F4A" w:rsidRPr="0060711B" w:rsidRDefault="00D07F4A" w:rsidP="0060711B">
      <w:pPr>
        <w:spacing w:after="0" w:line="276" w:lineRule="auto"/>
        <w:jc w:val="both"/>
        <w:rPr>
          <w:rFonts w:ascii="Tahoma" w:hAnsi="Tahoma" w:cs="Tahoma"/>
          <w:sz w:val="24"/>
          <w:szCs w:val="24"/>
        </w:rPr>
      </w:pPr>
    </w:p>
    <w:p w:rsidR="00D07F4A" w:rsidRPr="0060711B" w:rsidRDefault="00D07F4A" w:rsidP="0060711B">
      <w:pPr>
        <w:spacing w:after="0" w:line="276" w:lineRule="auto"/>
        <w:jc w:val="both"/>
        <w:rPr>
          <w:rFonts w:ascii="Tahoma" w:hAnsi="Tahoma" w:cs="Tahoma"/>
          <w:b/>
        </w:rPr>
      </w:pPr>
      <w:r w:rsidRPr="0060711B">
        <w:rPr>
          <w:rFonts w:ascii="Tahoma" w:hAnsi="Tahoma" w:cs="Tahoma"/>
          <w:b/>
        </w:rPr>
        <w:t xml:space="preserve">I) Pronunciamiento sobre la instrucción </w:t>
      </w:r>
      <w:r w:rsidR="00890A7E" w:rsidRPr="0060711B">
        <w:rPr>
          <w:rFonts w:ascii="Tahoma" w:hAnsi="Tahoma" w:cs="Tahoma"/>
          <w:b/>
        </w:rPr>
        <w:t>a</w:t>
      </w:r>
      <w:r w:rsidRPr="0060711B">
        <w:rPr>
          <w:rFonts w:ascii="Tahoma" w:hAnsi="Tahoma" w:cs="Tahoma"/>
          <w:b/>
        </w:rPr>
        <w:t xml:space="preserve">l Comité de Transparencia del Sujeto Obligado, </w:t>
      </w:r>
      <w:r w:rsidR="00890A7E" w:rsidRPr="0060711B">
        <w:rPr>
          <w:rFonts w:ascii="Tahoma" w:hAnsi="Tahoma" w:cs="Tahoma"/>
          <w:b/>
        </w:rPr>
        <w:t>para que emita Acuerdo de</w:t>
      </w:r>
      <w:r w:rsidRPr="0060711B">
        <w:rPr>
          <w:rFonts w:ascii="Tahoma" w:hAnsi="Tahoma" w:cs="Tahoma"/>
          <w:b/>
        </w:rPr>
        <w:t xml:space="preserve"> Incompetencia. </w:t>
      </w:r>
    </w:p>
    <w:p w:rsidR="009E0861" w:rsidRPr="0060711B" w:rsidRDefault="00CB51A8" w:rsidP="0060711B">
      <w:pPr>
        <w:spacing w:after="0" w:line="276" w:lineRule="auto"/>
        <w:jc w:val="both"/>
        <w:rPr>
          <w:rFonts w:ascii="Tahoma" w:hAnsi="Tahoma" w:cs="Tahoma"/>
          <w:sz w:val="24"/>
          <w:szCs w:val="24"/>
        </w:rPr>
      </w:pPr>
      <w:r w:rsidRPr="0060711B">
        <w:rPr>
          <w:rFonts w:ascii="Tahoma" w:hAnsi="Tahoma" w:cs="Tahoma"/>
          <w:sz w:val="24"/>
          <w:szCs w:val="24"/>
        </w:rPr>
        <w:t>I</w:t>
      </w:r>
      <w:r w:rsidR="009E0861" w:rsidRPr="0060711B">
        <w:rPr>
          <w:rFonts w:ascii="Tahoma" w:hAnsi="Tahoma" w:cs="Tahoma"/>
          <w:sz w:val="24"/>
          <w:szCs w:val="24"/>
        </w:rPr>
        <w:t xml:space="preserve">ndudablemente coincido con los argumentos, el estudio y la exhaustividad seguida por </w:t>
      </w:r>
      <w:r w:rsidRPr="0060711B">
        <w:rPr>
          <w:rFonts w:ascii="Tahoma" w:hAnsi="Tahoma" w:cs="Tahoma"/>
          <w:sz w:val="24"/>
          <w:szCs w:val="24"/>
        </w:rPr>
        <w:t>la</w:t>
      </w:r>
      <w:r w:rsidR="009E0861" w:rsidRPr="0060711B">
        <w:rPr>
          <w:rFonts w:ascii="Tahoma" w:hAnsi="Tahoma" w:cs="Tahoma"/>
          <w:sz w:val="24"/>
          <w:szCs w:val="24"/>
        </w:rPr>
        <w:t xml:space="preserve"> Comisionad</w:t>
      </w:r>
      <w:r w:rsidRPr="0060711B">
        <w:rPr>
          <w:rFonts w:ascii="Tahoma" w:hAnsi="Tahoma" w:cs="Tahoma"/>
          <w:sz w:val="24"/>
          <w:szCs w:val="24"/>
        </w:rPr>
        <w:t>a</w:t>
      </w:r>
      <w:r w:rsidR="009E0861" w:rsidRPr="0060711B">
        <w:rPr>
          <w:rFonts w:ascii="Tahoma" w:hAnsi="Tahoma" w:cs="Tahoma"/>
          <w:sz w:val="24"/>
          <w:szCs w:val="24"/>
        </w:rPr>
        <w:t xml:space="preserve"> Ponente, que permiten dilucidar con claridad que el </w:t>
      </w:r>
      <w:r w:rsidR="009039FE" w:rsidRPr="0060711B">
        <w:rPr>
          <w:rFonts w:ascii="Tahoma" w:hAnsi="Tahoma" w:cs="Tahoma"/>
          <w:sz w:val="24"/>
          <w:szCs w:val="24"/>
        </w:rPr>
        <w:t>Sujeto Obligado</w:t>
      </w:r>
      <w:r w:rsidR="009E0861" w:rsidRPr="0060711B">
        <w:rPr>
          <w:rFonts w:ascii="Tahoma" w:hAnsi="Tahoma" w:cs="Tahoma"/>
          <w:sz w:val="24"/>
          <w:szCs w:val="24"/>
        </w:rPr>
        <w:t xml:space="preserve"> carece de atribuciones y/o competencias para contar con la información</w:t>
      </w:r>
      <w:r w:rsidR="00412CB2" w:rsidRPr="0060711B">
        <w:rPr>
          <w:rFonts w:ascii="Tahoma" w:hAnsi="Tahoma" w:cs="Tahoma"/>
          <w:sz w:val="24"/>
          <w:szCs w:val="24"/>
        </w:rPr>
        <w:t xml:space="preserve"> precisada y</w:t>
      </w:r>
      <w:r w:rsidR="009E0861" w:rsidRPr="0060711B">
        <w:rPr>
          <w:rFonts w:ascii="Tahoma" w:hAnsi="Tahoma" w:cs="Tahoma"/>
          <w:sz w:val="24"/>
          <w:szCs w:val="24"/>
        </w:rPr>
        <w:t xml:space="preserve"> que interesa al ahora recurrente</w:t>
      </w:r>
      <w:r w:rsidRPr="0060711B">
        <w:rPr>
          <w:rFonts w:ascii="Tahoma" w:hAnsi="Tahoma" w:cs="Tahoma"/>
          <w:sz w:val="24"/>
          <w:szCs w:val="24"/>
        </w:rPr>
        <w:t xml:space="preserve"> (pago de los derechos de agua)</w:t>
      </w:r>
      <w:r w:rsidR="00412CB2" w:rsidRPr="0060711B">
        <w:rPr>
          <w:rFonts w:ascii="Tahoma" w:hAnsi="Tahoma" w:cs="Tahoma"/>
          <w:sz w:val="24"/>
          <w:szCs w:val="24"/>
        </w:rPr>
        <w:t>;</w:t>
      </w:r>
      <w:r w:rsidR="009E0861" w:rsidRPr="0060711B">
        <w:rPr>
          <w:rFonts w:ascii="Tahoma" w:hAnsi="Tahoma" w:cs="Tahoma"/>
          <w:sz w:val="24"/>
          <w:szCs w:val="24"/>
        </w:rPr>
        <w:t xml:space="preserve"> sin embargo</w:t>
      </w:r>
      <w:r w:rsidR="0010688C" w:rsidRPr="0060711B">
        <w:rPr>
          <w:rFonts w:ascii="Tahoma" w:hAnsi="Tahoma" w:cs="Tahoma"/>
          <w:sz w:val="24"/>
          <w:szCs w:val="24"/>
        </w:rPr>
        <w:t>,</w:t>
      </w:r>
      <w:r w:rsidR="009E0861" w:rsidRPr="0060711B">
        <w:rPr>
          <w:rFonts w:ascii="Tahoma" w:hAnsi="Tahoma" w:cs="Tahoma"/>
          <w:sz w:val="24"/>
          <w:szCs w:val="24"/>
        </w:rPr>
        <w:t xml:space="preserve"> difiero en la instrucción conten</w:t>
      </w:r>
      <w:r w:rsidR="0010688C" w:rsidRPr="0060711B">
        <w:rPr>
          <w:rFonts w:ascii="Tahoma" w:hAnsi="Tahoma" w:cs="Tahoma"/>
          <w:sz w:val="24"/>
          <w:szCs w:val="24"/>
        </w:rPr>
        <w:t>ida</w:t>
      </w:r>
      <w:r w:rsidR="009E0861" w:rsidRPr="0060711B">
        <w:rPr>
          <w:rFonts w:ascii="Tahoma" w:hAnsi="Tahoma" w:cs="Tahoma"/>
          <w:sz w:val="24"/>
          <w:szCs w:val="24"/>
        </w:rPr>
        <w:t xml:space="preserve"> en</w:t>
      </w:r>
      <w:r w:rsidR="00246FAF" w:rsidRPr="0060711B">
        <w:rPr>
          <w:rFonts w:ascii="Tahoma" w:hAnsi="Tahoma" w:cs="Tahoma"/>
          <w:sz w:val="24"/>
          <w:szCs w:val="24"/>
        </w:rPr>
        <w:t xml:space="preserve"> los r</w:t>
      </w:r>
      <w:r w:rsidR="0010688C" w:rsidRPr="0060711B">
        <w:rPr>
          <w:rFonts w:ascii="Tahoma" w:hAnsi="Tahoma" w:cs="Tahoma"/>
          <w:sz w:val="24"/>
          <w:szCs w:val="24"/>
        </w:rPr>
        <w:t>esolutivos de</w:t>
      </w:r>
      <w:r w:rsidR="009E0861" w:rsidRPr="0060711B">
        <w:rPr>
          <w:rFonts w:ascii="Tahoma" w:hAnsi="Tahoma" w:cs="Tahoma"/>
          <w:sz w:val="24"/>
          <w:szCs w:val="24"/>
        </w:rPr>
        <w:t xml:space="preserve"> la </w:t>
      </w:r>
      <w:r w:rsidR="0010688C" w:rsidRPr="0060711B">
        <w:rPr>
          <w:rFonts w:ascii="Tahoma" w:hAnsi="Tahoma" w:cs="Tahoma"/>
          <w:sz w:val="24"/>
          <w:szCs w:val="24"/>
        </w:rPr>
        <w:t>R</w:t>
      </w:r>
      <w:r w:rsidR="009E0861" w:rsidRPr="0060711B">
        <w:rPr>
          <w:rFonts w:ascii="Tahoma" w:hAnsi="Tahoma" w:cs="Tahoma"/>
          <w:sz w:val="24"/>
          <w:szCs w:val="24"/>
        </w:rPr>
        <w:t>esolución que nos atañe, pues desde mi óptica, ordenar al Comité de Transparencia</w:t>
      </w:r>
      <w:r w:rsidR="0010688C" w:rsidRPr="0060711B">
        <w:rPr>
          <w:rFonts w:ascii="Tahoma" w:hAnsi="Tahoma" w:cs="Tahoma"/>
          <w:sz w:val="24"/>
          <w:szCs w:val="24"/>
        </w:rPr>
        <w:t xml:space="preserve"> del </w:t>
      </w:r>
      <w:r w:rsidR="009039FE" w:rsidRPr="0060711B">
        <w:rPr>
          <w:rFonts w:ascii="Tahoma" w:hAnsi="Tahoma" w:cs="Tahoma"/>
          <w:sz w:val="24"/>
          <w:szCs w:val="24"/>
        </w:rPr>
        <w:t>Sujeto Obligado</w:t>
      </w:r>
      <w:r w:rsidR="0010688C" w:rsidRPr="0060711B">
        <w:rPr>
          <w:rFonts w:ascii="Tahoma" w:hAnsi="Tahoma" w:cs="Tahoma"/>
          <w:sz w:val="24"/>
          <w:szCs w:val="24"/>
        </w:rPr>
        <w:t xml:space="preserve"> que sesione para que </w:t>
      </w:r>
      <w:r w:rsidR="009E0861" w:rsidRPr="0060711B">
        <w:rPr>
          <w:rFonts w:ascii="Tahoma" w:hAnsi="Tahoma" w:cs="Tahoma"/>
          <w:sz w:val="24"/>
          <w:szCs w:val="24"/>
        </w:rPr>
        <w:t>emit</w:t>
      </w:r>
      <w:r w:rsidR="00962B86" w:rsidRPr="0060711B">
        <w:rPr>
          <w:rFonts w:ascii="Tahoma" w:hAnsi="Tahoma" w:cs="Tahoma"/>
          <w:sz w:val="24"/>
          <w:szCs w:val="24"/>
        </w:rPr>
        <w:t>a un Acuerdo</w:t>
      </w:r>
      <w:r w:rsidR="009E0861" w:rsidRPr="0060711B">
        <w:rPr>
          <w:rFonts w:ascii="Tahoma" w:hAnsi="Tahoma" w:cs="Tahoma"/>
          <w:sz w:val="24"/>
          <w:szCs w:val="24"/>
        </w:rPr>
        <w:t xml:space="preserve"> en </w:t>
      </w:r>
      <w:r w:rsidR="00962B86" w:rsidRPr="0060711B">
        <w:rPr>
          <w:rFonts w:ascii="Tahoma" w:hAnsi="Tahoma" w:cs="Tahoma"/>
          <w:sz w:val="24"/>
          <w:szCs w:val="24"/>
        </w:rPr>
        <w:t>e</w:t>
      </w:r>
      <w:r w:rsidR="009E0861" w:rsidRPr="0060711B">
        <w:rPr>
          <w:rFonts w:ascii="Tahoma" w:hAnsi="Tahoma" w:cs="Tahoma"/>
          <w:sz w:val="24"/>
          <w:szCs w:val="24"/>
        </w:rPr>
        <w:t xml:space="preserve">l que confirme la incompetencia para contar con la información, causa un perjuicio al derecho de acceso a la información del solicitante, en tanto que dilata los plazos del procedimiento, </w:t>
      </w:r>
      <w:r w:rsidR="00526DBD" w:rsidRPr="0060711B">
        <w:rPr>
          <w:rFonts w:ascii="Tahoma" w:hAnsi="Tahoma" w:cs="Tahoma"/>
          <w:sz w:val="24"/>
          <w:szCs w:val="24"/>
        </w:rPr>
        <w:t xml:space="preserve">genera una carga adicional al </w:t>
      </w:r>
      <w:r w:rsidR="009039FE" w:rsidRPr="0060711B">
        <w:rPr>
          <w:rFonts w:ascii="Tahoma" w:hAnsi="Tahoma" w:cs="Tahoma"/>
          <w:sz w:val="24"/>
          <w:szCs w:val="24"/>
        </w:rPr>
        <w:t>Sujeto Obligado</w:t>
      </w:r>
      <w:r w:rsidR="009E0861" w:rsidRPr="0060711B">
        <w:rPr>
          <w:rFonts w:ascii="Tahoma" w:hAnsi="Tahoma" w:cs="Tahoma"/>
          <w:sz w:val="24"/>
          <w:szCs w:val="24"/>
        </w:rPr>
        <w:t xml:space="preserve"> y </w:t>
      </w:r>
      <w:r w:rsidR="00526DBD" w:rsidRPr="0060711B">
        <w:rPr>
          <w:rFonts w:ascii="Tahoma" w:hAnsi="Tahoma" w:cs="Tahoma"/>
          <w:sz w:val="24"/>
          <w:szCs w:val="24"/>
        </w:rPr>
        <w:t>ello no</w:t>
      </w:r>
      <w:r w:rsidR="00E656C1" w:rsidRPr="0060711B">
        <w:rPr>
          <w:rFonts w:ascii="Tahoma" w:hAnsi="Tahoma" w:cs="Tahoma"/>
          <w:sz w:val="24"/>
          <w:szCs w:val="24"/>
        </w:rPr>
        <w:t xml:space="preserve"> </w:t>
      </w:r>
      <w:r w:rsidR="00526DBD" w:rsidRPr="0060711B">
        <w:rPr>
          <w:rFonts w:ascii="Tahoma" w:hAnsi="Tahoma" w:cs="Tahoma"/>
          <w:sz w:val="24"/>
          <w:szCs w:val="24"/>
        </w:rPr>
        <w:t>m</w:t>
      </w:r>
      <w:r w:rsidR="00E656C1" w:rsidRPr="0060711B">
        <w:rPr>
          <w:rFonts w:ascii="Tahoma" w:hAnsi="Tahoma" w:cs="Tahoma"/>
          <w:sz w:val="24"/>
          <w:szCs w:val="24"/>
        </w:rPr>
        <w:t>o</w:t>
      </w:r>
      <w:r w:rsidR="00526DBD" w:rsidRPr="0060711B">
        <w:rPr>
          <w:rFonts w:ascii="Tahoma" w:hAnsi="Tahoma" w:cs="Tahoma"/>
          <w:sz w:val="24"/>
          <w:szCs w:val="24"/>
        </w:rPr>
        <w:t xml:space="preserve">difica el hecho de que el recurrente no obtendrá mayor información </w:t>
      </w:r>
      <w:r w:rsidR="00246FAF" w:rsidRPr="0060711B">
        <w:rPr>
          <w:rFonts w:ascii="Tahoma" w:hAnsi="Tahoma" w:cs="Tahoma"/>
          <w:sz w:val="24"/>
          <w:szCs w:val="24"/>
        </w:rPr>
        <w:t>a</w:t>
      </w:r>
      <w:r w:rsidR="00526DBD" w:rsidRPr="0060711B">
        <w:rPr>
          <w:rFonts w:ascii="Tahoma" w:hAnsi="Tahoma" w:cs="Tahoma"/>
          <w:sz w:val="24"/>
          <w:szCs w:val="24"/>
        </w:rPr>
        <w:t xml:space="preserve"> la ya contenida en la Resolución que se </w:t>
      </w:r>
      <w:r w:rsidR="00246FAF" w:rsidRPr="0060711B">
        <w:rPr>
          <w:rFonts w:ascii="Tahoma" w:hAnsi="Tahoma" w:cs="Tahoma"/>
          <w:sz w:val="24"/>
          <w:szCs w:val="24"/>
        </w:rPr>
        <w:t>le notificará</w:t>
      </w:r>
      <w:r w:rsidR="00526DBD" w:rsidRPr="0060711B">
        <w:rPr>
          <w:rFonts w:ascii="Tahoma" w:hAnsi="Tahoma" w:cs="Tahoma"/>
          <w:sz w:val="24"/>
          <w:szCs w:val="24"/>
        </w:rPr>
        <w:t>.</w:t>
      </w:r>
    </w:p>
    <w:p w:rsidR="009E0861" w:rsidRPr="0060711B" w:rsidRDefault="009E0861" w:rsidP="0060711B">
      <w:pPr>
        <w:spacing w:after="0" w:line="276" w:lineRule="auto"/>
        <w:jc w:val="both"/>
        <w:rPr>
          <w:rFonts w:ascii="Tahoma" w:hAnsi="Tahoma" w:cs="Tahoma"/>
          <w:sz w:val="24"/>
          <w:szCs w:val="24"/>
        </w:rPr>
      </w:pPr>
    </w:p>
    <w:p w:rsidR="009E0861" w:rsidRPr="0060711B" w:rsidRDefault="009E0861" w:rsidP="0060711B">
      <w:pPr>
        <w:spacing w:after="0" w:line="276" w:lineRule="auto"/>
        <w:jc w:val="both"/>
        <w:rPr>
          <w:rFonts w:ascii="Tahoma" w:hAnsi="Tahoma" w:cs="Tahoma"/>
          <w:sz w:val="24"/>
          <w:szCs w:val="24"/>
        </w:rPr>
      </w:pPr>
      <w:r w:rsidRPr="0060711B">
        <w:rPr>
          <w:rFonts w:ascii="Tahoma" w:hAnsi="Tahoma" w:cs="Tahoma"/>
          <w:sz w:val="24"/>
          <w:szCs w:val="24"/>
        </w:rPr>
        <w:t>Por ende, instruir al Comité de Transparencia para que sesione y emita una resolución confirmando una incompetencia que ya fue declarada y an</w:t>
      </w:r>
      <w:r w:rsidR="00E656C1" w:rsidRPr="0060711B">
        <w:rPr>
          <w:rFonts w:ascii="Tahoma" w:hAnsi="Tahoma" w:cs="Tahoma"/>
          <w:sz w:val="24"/>
          <w:szCs w:val="24"/>
        </w:rPr>
        <w:t>alizada exhaustivamente por el Pleno de este</w:t>
      </w:r>
      <w:r w:rsidRPr="0060711B">
        <w:rPr>
          <w:rFonts w:ascii="Tahoma" w:hAnsi="Tahoma" w:cs="Tahoma"/>
          <w:sz w:val="24"/>
          <w:szCs w:val="24"/>
        </w:rPr>
        <w:t xml:space="preserve"> Instituto, se aparta de los principios de sencillez y rapidez establecidos por la Ley de Transparencia y Acceso a la </w:t>
      </w:r>
      <w:r w:rsidRPr="0060711B">
        <w:rPr>
          <w:rFonts w:ascii="Tahoma" w:hAnsi="Tahoma" w:cs="Tahoma"/>
          <w:sz w:val="24"/>
          <w:szCs w:val="24"/>
        </w:rPr>
        <w:lastRenderedPageBreak/>
        <w:t>Información Pública de</w:t>
      </w:r>
      <w:r w:rsidR="00E656C1" w:rsidRPr="0060711B">
        <w:rPr>
          <w:rFonts w:ascii="Tahoma" w:hAnsi="Tahoma" w:cs="Tahoma"/>
          <w:sz w:val="24"/>
          <w:szCs w:val="24"/>
        </w:rPr>
        <w:t>l Estado de México y Municipios, en sus artículos 2°, fracciones II y III, 21 y 150.</w:t>
      </w:r>
    </w:p>
    <w:p w:rsidR="009E0861" w:rsidRPr="0060711B" w:rsidRDefault="009E0861" w:rsidP="0060711B">
      <w:pPr>
        <w:spacing w:after="0" w:line="276" w:lineRule="auto"/>
        <w:jc w:val="both"/>
        <w:rPr>
          <w:rFonts w:ascii="Tahoma" w:hAnsi="Tahoma" w:cs="Tahoma"/>
          <w:sz w:val="24"/>
          <w:szCs w:val="24"/>
        </w:rPr>
      </w:pPr>
    </w:p>
    <w:p w:rsidR="009E0861" w:rsidRPr="0060711B" w:rsidRDefault="009E0861" w:rsidP="0060711B">
      <w:pPr>
        <w:spacing w:after="0" w:line="276" w:lineRule="auto"/>
        <w:jc w:val="both"/>
        <w:rPr>
          <w:rFonts w:ascii="Tahoma" w:hAnsi="Tahoma" w:cs="Tahoma"/>
          <w:sz w:val="24"/>
          <w:szCs w:val="24"/>
        </w:rPr>
      </w:pPr>
      <w:r w:rsidRPr="0060711B">
        <w:rPr>
          <w:rFonts w:ascii="Tahoma" w:hAnsi="Tahoma" w:cs="Tahoma"/>
          <w:sz w:val="24"/>
          <w:szCs w:val="24"/>
        </w:rPr>
        <w:t>Con la finalidad de demostrar lo anterior, conviene traer a colación el Titulo Segundo, Capítulo II, de la Ley de Transparencia y Acceso a la Información Pública del Estado de México y Municipios, que lleva por título “De los Comités de Transparencia”, el cual indica</w:t>
      </w:r>
      <w:r w:rsidR="00CD4339" w:rsidRPr="0060711B">
        <w:rPr>
          <w:rFonts w:ascii="Tahoma" w:hAnsi="Tahoma" w:cs="Tahoma"/>
          <w:sz w:val="24"/>
          <w:szCs w:val="24"/>
        </w:rPr>
        <w:t xml:space="preserve"> en sus artículos 47 y 49, fracción II</w:t>
      </w:r>
      <w:r w:rsidRPr="0060711B">
        <w:rPr>
          <w:rFonts w:ascii="Tahoma" w:hAnsi="Tahoma" w:cs="Tahoma"/>
          <w:sz w:val="24"/>
          <w:szCs w:val="24"/>
        </w:rPr>
        <w:t>, esencialmente, lo siguiente:</w:t>
      </w:r>
    </w:p>
    <w:p w:rsidR="009E0861" w:rsidRPr="0060711B" w:rsidRDefault="009E0861" w:rsidP="0060711B">
      <w:pPr>
        <w:spacing w:after="0" w:line="276" w:lineRule="auto"/>
        <w:jc w:val="both"/>
        <w:rPr>
          <w:rFonts w:ascii="Tahoma" w:hAnsi="Tahoma" w:cs="Tahoma"/>
          <w:sz w:val="24"/>
          <w:szCs w:val="24"/>
        </w:rPr>
      </w:pPr>
    </w:p>
    <w:p w:rsidR="009E0861" w:rsidRPr="0060711B" w:rsidRDefault="009E0861" w:rsidP="0060711B">
      <w:pPr>
        <w:pStyle w:val="Prrafodelista"/>
        <w:numPr>
          <w:ilvl w:val="0"/>
          <w:numId w:val="11"/>
        </w:numPr>
        <w:spacing w:after="0" w:line="276" w:lineRule="auto"/>
        <w:jc w:val="both"/>
        <w:rPr>
          <w:rFonts w:ascii="Tahoma" w:hAnsi="Tahoma" w:cs="Tahoma"/>
          <w:sz w:val="24"/>
          <w:szCs w:val="24"/>
        </w:rPr>
      </w:pPr>
      <w:r w:rsidRPr="0060711B">
        <w:rPr>
          <w:rFonts w:ascii="Tahoma" w:hAnsi="Tahoma" w:cs="Tahoma"/>
          <w:sz w:val="24"/>
          <w:szCs w:val="24"/>
        </w:rPr>
        <w:t xml:space="preserve">Que el Comité de Transparencia es la autoridad máxima al interior del </w:t>
      </w:r>
      <w:r w:rsidR="009039FE" w:rsidRPr="0060711B">
        <w:rPr>
          <w:rFonts w:ascii="Tahoma" w:hAnsi="Tahoma" w:cs="Tahoma"/>
          <w:sz w:val="24"/>
          <w:szCs w:val="24"/>
        </w:rPr>
        <w:t>Sujeto Obligado</w:t>
      </w:r>
      <w:r w:rsidRPr="0060711B">
        <w:rPr>
          <w:rFonts w:ascii="Tahoma" w:hAnsi="Tahoma" w:cs="Tahoma"/>
          <w:sz w:val="24"/>
          <w:szCs w:val="24"/>
        </w:rPr>
        <w:t xml:space="preserve"> en materia del derecho de acceso a la información;</w:t>
      </w:r>
    </w:p>
    <w:p w:rsidR="00006F73" w:rsidRPr="0060711B" w:rsidRDefault="00006F73" w:rsidP="0060711B">
      <w:pPr>
        <w:pStyle w:val="Prrafodelista"/>
        <w:spacing w:after="0" w:line="276" w:lineRule="auto"/>
        <w:jc w:val="both"/>
        <w:rPr>
          <w:rFonts w:ascii="Tahoma" w:hAnsi="Tahoma" w:cs="Tahoma"/>
          <w:sz w:val="24"/>
          <w:szCs w:val="24"/>
        </w:rPr>
      </w:pPr>
    </w:p>
    <w:p w:rsidR="009E0861" w:rsidRPr="0060711B" w:rsidRDefault="009E0861" w:rsidP="0060711B">
      <w:pPr>
        <w:pStyle w:val="Prrafodelista"/>
        <w:numPr>
          <w:ilvl w:val="0"/>
          <w:numId w:val="11"/>
        </w:numPr>
        <w:spacing w:after="0" w:line="276" w:lineRule="auto"/>
        <w:jc w:val="both"/>
        <w:rPr>
          <w:rFonts w:ascii="Tahoma" w:hAnsi="Tahoma" w:cs="Tahoma"/>
          <w:b/>
          <w:sz w:val="24"/>
          <w:szCs w:val="24"/>
        </w:rPr>
      </w:pPr>
      <w:r w:rsidRPr="0060711B">
        <w:rPr>
          <w:rFonts w:ascii="Tahoma" w:hAnsi="Tahoma" w:cs="Tahoma"/>
          <w:sz w:val="24"/>
          <w:szCs w:val="24"/>
        </w:rPr>
        <w:t xml:space="preserve">Que los Comités de Transparencia </w:t>
      </w:r>
      <w:r w:rsidRPr="0060711B">
        <w:rPr>
          <w:rFonts w:ascii="Tahoma" w:hAnsi="Tahoma" w:cs="Tahoma"/>
          <w:sz w:val="24"/>
          <w:szCs w:val="24"/>
          <w:u w:val="single"/>
        </w:rPr>
        <w:t>cuentan con atribuciones para confirmar, modificar o revocar las determinaciones que en materia</w:t>
      </w:r>
      <w:r w:rsidRPr="0060711B">
        <w:rPr>
          <w:rFonts w:ascii="Tahoma" w:hAnsi="Tahoma" w:cs="Tahoma"/>
          <w:sz w:val="24"/>
          <w:szCs w:val="24"/>
        </w:rPr>
        <w:t xml:space="preserve"> de</w:t>
      </w:r>
      <w:r w:rsidRPr="0060711B">
        <w:rPr>
          <w:rFonts w:ascii="Tahoma" w:hAnsi="Tahoma" w:cs="Tahoma"/>
          <w:b/>
          <w:sz w:val="24"/>
          <w:szCs w:val="24"/>
        </w:rPr>
        <w:t xml:space="preserve"> </w:t>
      </w:r>
      <w:r w:rsidRPr="0060711B">
        <w:rPr>
          <w:rFonts w:ascii="Tahoma" w:hAnsi="Tahoma" w:cs="Tahoma"/>
          <w:sz w:val="24"/>
          <w:szCs w:val="24"/>
        </w:rPr>
        <w:t>ampliación del plazo de respuesta, clasificación de la información y declaración de inexistencia</w:t>
      </w:r>
      <w:r w:rsidRPr="0060711B">
        <w:rPr>
          <w:rFonts w:ascii="Tahoma" w:hAnsi="Tahoma" w:cs="Tahoma"/>
          <w:b/>
          <w:sz w:val="24"/>
          <w:szCs w:val="24"/>
        </w:rPr>
        <w:t xml:space="preserve"> </w:t>
      </w:r>
      <w:r w:rsidRPr="0060711B">
        <w:rPr>
          <w:rFonts w:ascii="Tahoma" w:hAnsi="Tahoma" w:cs="Tahoma"/>
          <w:sz w:val="24"/>
          <w:szCs w:val="24"/>
        </w:rPr>
        <w:t xml:space="preserve">o </w:t>
      </w:r>
      <w:r w:rsidRPr="0060711B">
        <w:rPr>
          <w:rFonts w:ascii="Tahoma" w:hAnsi="Tahoma" w:cs="Tahoma"/>
          <w:sz w:val="24"/>
          <w:szCs w:val="24"/>
          <w:u w:val="single"/>
        </w:rPr>
        <w:t>de incompetencia realicen los titulares de las áreas de los sujetos obligados</w:t>
      </w:r>
      <w:r w:rsidR="00447F6F" w:rsidRPr="0060711B">
        <w:rPr>
          <w:rFonts w:ascii="Tahoma" w:hAnsi="Tahoma" w:cs="Tahoma"/>
          <w:sz w:val="24"/>
          <w:szCs w:val="24"/>
        </w:rPr>
        <w:t>.</w:t>
      </w:r>
    </w:p>
    <w:p w:rsidR="00447F6F" w:rsidRPr="0060711B" w:rsidRDefault="00447F6F" w:rsidP="0060711B">
      <w:pPr>
        <w:pStyle w:val="Prrafodelista"/>
        <w:spacing w:after="0" w:line="276" w:lineRule="auto"/>
        <w:rPr>
          <w:rFonts w:ascii="Tahoma" w:hAnsi="Tahoma" w:cs="Tahoma"/>
          <w:b/>
          <w:sz w:val="24"/>
          <w:szCs w:val="24"/>
        </w:rPr>
      </w:pPr>
    </w:p>
    <w:p w:rsidR="009E0861" w:rsidRPr="0060711B" w:rsidRDefault="009E0861" w:rsidP="0060711B">
      <w:pPr>
        <w:spacing w:after="0" w:line="276" w:lineRule="auto"/>
        <w:jc w:val="both"/>
        <w:rPr>
          <w:rFonts w:ascii="Tahoma" w:hAnsi="Tahoma" w:cs="Tahoma"/>
          <w:sz w:val="24"/>
          <w:szCs w:val="24"/>
        </w:rPr>
      </w:pPr>
      <w:r w:rsidRPr="0060711B">
        <w:rPr>
          <w:rFonts w:ascii="Tahoma" w:hAnsi="Tahoma" w:cs="Tahoma"/>
          <w:sz w:val="24"/>
          <w:szCs w:val="24"/>
        </w:rPr>
        <w:t xml:space="preserve">Así, de lo anterior se colige que el Comité de Transparencia es la máxima autoridad en materia del derecho de acceso a la información al interior de los sujetos obligados y que cuenta con atribuciones para </w:t>
      </w:r>
      <w:r w:rsidRPr="0060711B">
        <w:rPr>
          <w:rFonts w:ascii="Tahoma" w:hAnsi="Tahoma" w:cs="Tahoma"/>
          <w:sz w:val="24"/>
          <w:szCs w:val="24"/>
          <w:u w:val="single"/>
        </w:rPr>
        <w:t>confirmar, modificar o revocar</w:t>
      </w:r>
      <w:r w:rsidRPr="0060711B">
        <w:rPr>
          <w:rFonts w:ascii="Tahoma" w:hAnsi="Tahoma" w:cs="Tahoma"/>
          <w:sz w:val="24"/>
          <w:szCs w:val="24"/>
        </w:rPr>
        <w:t xml:space="preserve"> las </w:t>
      </w:r>
      <w:r w:rsidRPr="0060711B">
        <w:rPr>
          <w:rFonts w:ascii="Tahoma" w:hAnsi="Tahoma" w:cs="Tahoma"/>
          <w:sz w:val="24"/>
          <w:szCs w:val="24"/>
          <w:u w:val="single"/>
        </w:rPr>
        <w:t>determinaciones</w:t>
      </w:r>
      <w:r w:rsidRPr="0060711B">
        <w:rPr>
          <w:rFonts w:ascii="Tahoma" w:hAnsi="Tahoma" w:cs="Tahoma"/>
          <w:sz w:val="24"/>
          <w:szCs w:val="24"/>
        </w:rPr>
        <w:t xml:space="preserve"> que en materia de ampliación del plazo de respuesta, clasificación de la información y declaración de inexistencia o </w:t>
      </w:r>
      <w:r w:rsidRPr="0060711B">
        <w:rPr>
          <w:rFonts w:ascii="Tahoma" w:hAnsi="Tahoma" w:cs="Tahoma"/>
          <w:sz w:val="24"/>
          <w:szCs w:val="24"/>
          <w:u w:val="single"/>
        </w:rPr>
        <w:t>de incompetencia</w:t>
      </w:r>
      <w:r w:rsidRPr="0060711B">
        <w:rPr>
          <w:rFonts w:ascii="Tahoma" w:hAnsi="Tahoma" w:cs="Tahoma"/>
          <w:sz w:val="24"/>
          <w:szCs w:val="24"/>
        </w:rPr>
        <w:t xml:space="preserve"> realicen los titulares de las áreas de los sujetos obligados.</w:t>
      </w:r>
    </w:p>
    <w:p w:rsidR="009E0861" w:rsidRPr="0060711B" w:rsidRDefault="009E0861" w:rsidP="0060711B">
      <w:pPr>
        <w:spacing w:after="0" w:line="276" w:lineRule="auto"/>
        <w:jc w:val="both"/>
        <w:rPr>
          <w:rFonts w:ascii="Tahoma" w:hAnsi="Tahoma" w:cs="Tahoma"/>
          <w:sz w:val="24"/>
          <w:szCs w:val="24"/>
        </w:rPr>
      </w:pPr>
    </w:p>
    <w:p w:rsidR="009E0861" w:rsidRPr="0060711B" w:rsidRDefault="009E0861" w:rsidP="0060711B">
      <w:pPr>
        <w:spacing w:after="0" w:line="276" w:lineRule="auto"/>
        <w:jc w:val="both"/>
        <w:rPr>
          <w:rFonts w:ascii="Tahoma" w:hAnsi="Tahoma" w:cs="Tahoma"/>
          <w:sz w:val="24"/>
          <w:szCs w:val="24"/>
        </w:rPr>
      </w:pPr>
      <w:r w:rsidRPr="0060711B">
        <w:rPr>
          <w:rFonts w:ascii="Tahoma" w:hAnsi="Tahoma" w:cs="Tahoma"/>
          <w:sz w:val="24"/>
          <w:szCs w:val="24"/>
        </w:rPr>
        <w:t>Por otro lado, el Título Séptimo, Capítulo I, de la Ley de Transparencia y Acceso a la Información Pública del Estado de México y Municipios, que lleva por título “Del Procedimiento de Acceso a la Información Pública”, señala lo siguiente:</w:t>
      </w:r>
    </w:p>
    <w:p w:rsidR="009E0861" w:rsidRPr="0060711B" w:rsidRDefault="009E0861" w:rsidP="0060711B">
      <w:pPr>
        <w:spacing w:after="0" w:line="276" w:lineRule="auto"/>
        <w:jc w:val="both"/>
        <w:rPr>
          <w:rFonts w:ascii="Tahoma" w:hAnsi="Tahoma" w:cs="Tahoma"/>
          <w:sz w:val="24"/>
          <w:szCs w:val="24"/>
        </w:rPr>
      </w:pPr>
    </w:p>
    <w:p w:rsidR="009E0861" w:rsidRDefault="009E0861" w:rsidP="0060711B">
      <w:pPr>
        <w:pStyle w:val="Prrafodelista"/>
        <w:numPr>
          <w:ilvl w:val="0"/>
          <w:numId w:val="12"/>
        </w:numPr>
        <w:spacing w:after="0" w:line="276" w:lineRule="auto"/>
        <w:jc w:val="both"/>
        <w:rPr>
          <w:rFonts w:ascii="Tahoma" w:hAnsi="Tahoma" w:cs="Tahoma"/>
          <w:b/>
          <w:sz w:val="24"/>
          <w:szCs w:val="24"/>
        </w:rPr>
      </w:pPr>
      <w:r w:rsidRPr="0060711B">
        <w:rPr>
          <w:rFonts w:ascii="Tahoma" w:hAnsi="Tahoma" w:cs="Tahoma"/>
          <w:sz w:val="24"/>
          <w:szCs w:val="24"/>
        </w:rPr>
        <w:t xml:space="preserve">Que, cuando </w:t>
      </w:r>
      <w:r w:rsidRPr="0060711B">
        <w:rPr>
          <w:rFonts w:ascii="Tahoma" w:hAnsi="Tahoma" w:cs="Tahoma"/>
          <w:b/>
          <w:sz w:val="24"/>
          <w:szCs w:val="24"/>
        </w:rPr>
        <w:t>las unidades de transparencia determinen la notoria incompetencia por parte de los sujetos obligados,</w:t>
      </w:r>
      <w:r w:rsidRPr="0060711B">
        <w:rPr>
          <w:rFonts w:ascii="Tahoma" w:hAnsi="Tahoma" w:cs="Tahoma"/>
          <w:sz w:val="24"/>
          <w:szCs w:val="24"/>
        </w:rPr>
        <w:t xml:space="preserve"> dentro del ámbito de aplicación, para atender la solicitud de acceso a la información, </w:t>
      </w:r>
      <w:r w:rsidRPr="0060711B">
        <w:rPr>
          <w:rFonts w:ascii="Tahoma" w:hAnsi="Tahoma" w:cs="Tahoma"/>
          <w:b/>
          <w:sz w:val="24"/>
          <w:szCs w:val="24"/>
        </w:rPr>
        <w:t>deberán comunicarlo al solicitante;</w:t>
      </w:r>
    </w:p>
    <w:p w:rsidR="00663645" w:rsidRPr="0060711B" w:rsidRDefault="00663645" w:rsidP="00663645">
      <w:pPr>
        <w:pStyle w:val="Prrafodelista"/>
        <w:spacing w:after="0" w:line="276" w:lineRule="auto"/>
        <w:jc w:val="both"/>
        <w:rPr>
          <w:rFonts w:ascii="Tahoma" w:hAnsi="Tahoma" w:cs="Tahoma"/>
          <w:b/>
          <w:sz w:val="24"/>
          <w:szCs w:val="24"/>
        </w:rPr>
      </w:pPr>
    </w:p>
    <w:p w:rsidR="009E0861" w:rsidRDefault="009E0861" w:rsidP="0060711B">
      <w:pPr>
        <w:pStyle w:val="Prrafodelista"/>
        <w:numPr>
          <w:ilvl w:val="0"/>
          <w:numId w:val="12"/>
        </w:numPr>
        <w:spacing w:after="0" w:line="276" w:lineRule="auto"/>
        <w:jc w:val="both"/>
        <w:rPr>
          <w:rFonts w:ascii="Tahoma" w:hAnsi="Tahoma" w:cs="Tahoma"/>
          <w:sz w:val="24"/>
          <w:szCs w:val="24"/>
        </w:rPr>
      </w:pPr>
      <w:r w:rsidRPr="0060711B">
        <w:rPr>
          <w:rFonts w:ascii="Tahoma" w:hAnsi="Tahoma" w:cs="Tahoma"/>
          <w:sz w:val="24"/>
          <w:szCs w:val="24"/>
        </w:rPr>
        <w:t xml:space="preserve">Que, cuando los sujetos obligados consideren que los documentos o la información deben ser clasificados, </w:t>
      </w:r>
      <w:r w:rsidRPr="0060711B">
        <w:rPr>
          <w:rFonts w:ascii="Tahoma" w:hAnsi="Tahoma" w:cs="Tahoma"/>
          <w:sz w:val="24"/>
          <w:szCs w:val="24"/>
          <w:u w:val="single"/>
        </w:rPr>
        <w:t xml:space="preserve">el Comité de Transparencia deberá </w:t>
      </w:r>
      <w:r w:rsidRPr="0060711B">
        <w:rPr>
          <w:rFonts w:ascii="Tahoma" w:hAnsi="Tahoma" w:cs="Tahoma"/>
          <w:sz w:val="24"/>
          <w:szCs w:val="24"/>
          <w:u w:val="single"/>
        </w:rPr>
        <w:lastRenderedPageBreak/>
        <w:t>resolver para confirmar, modificar o revocar la clasificación</w:t>
      </w:r>
      <w:r w:rsidRPr="0060711B">
        <w:rPr>
          <w:rFonts w:ascii="Tahoma" w:hAnsi="Tahoma" w:cs="Tahoma"/>
          <w:sz w:val="24"/>
          <w:szCs w:val="24"/>
        </w:rPr>
        <w:t>, notificando dicha resolución al solicitante; y,</w:t>
      </w:r>
    </w:p>
    <w:p w:rsidR="00663645" w:rsidRPr="00663645" w:rsidRDefault="00663645" w:rsidP="00663645">
      <w:pPr>
        <w:pStyle w:val="Prrafodelista"/>
        <w:rPr>
          <w:rFonts w:ascii="Tahoma" w:hAnsi="Tahoma" w:cs="Tahoma"/>
          <w:sz w:val="24"/>
          <w:szCs w:val="24"/>
        </w:rPr>
      </w:pPr>
    </w:p>
    <w:p w:rsidR="009E0861" w:rsidRPr="0060711B" w:rsidRDefault="009E0861" w:rsidP="0060711B">
      <w:pPr>
        <w:pStyle w:val="Prrafodelista"/>
        <w:numPr>
          <w:ilvl w:val="0"/>
          <w:numId w:val="12"/>
        </w:numPr>
        <w:spacing w:after="0" w:line="276" w:lineRule="auto"/>
        <w:jc w:val="both"/>
        <w:rPr>
          <w:rFonts w:ascii="Tahoma" w:hAnsi="Tahoma" w:cs="Tahoma"/>
          <w:sz w:val="24"/>
          <w:szCs w:val="24"/>
        </w:rPr>
      </w:pPr>
      <w:r w:rsidRPr="0060711B">
        <w:rPr>
          <w:rFonts w:ascii="Tahoma" w:hAnsi="Tahoma" w:cs="Tahoma"/>
          <w:sz w:val="24"/>
          <w:szCs w:val="24"/>
        </w:rPr>
        <w:t>Que</w:t>
      </w:r>
      <w:r w:rsidR="00097988" w:rsidRPr="0060711B">
        <w:rPr>
          <w:rFonts w:ascii="Tahoma" w:hAnsi="Tahoma" w:cs="Tahoma"/>
          <w:sz w:val="24"/>
          <w:szCs w:val="24"/>
        </w:rPr>
        <w:t>,</w:t>
      </w:r>
      <w:r w:rsidRPr="0060711B">
        <w:rPr>
          <w:rFonts w:ascii="Tahoma" w:hAnsi="Tahoma" w:cs="Tahoma"/>
          <w:sz w:val="24"/>
          <w:szCs w:val="24"/>
        </w:rPr>
        <w:t xml:space="preserve"> cuando la información no se encuentre en los archivos del </w:t>
      </w:r>
      <w:r w:rsidR="009039FE" w:rsidRPr="0060711B">
        <w:rPr>
          <w:rFonts w:ascii="Tahoma" w:hAnsi="Tahoma" w:cs="Tahoma"/>
          <w:sz w:val="24"/>
          <w:szCs w:val="24"/>
        </w:rPr>
        <w:t>Sujeto Obligado</w:t>
      </w:r>
      <w:r w:rsidRPr="0060711B">
        <w:rPr>
          <w:rFonts w:ascii="Tahoma" w:hAnsi="Tahoma" w:cs="Tahoma"/>
          <w:sz w:val="24"/>
          <w:szCs w:val="24"/>
        </w:rPr>
        <w:t xml:space="preserve">, el </w:t>
      </w:r>
      <w:r w:rsidRPr="0060711B">
        <w:rPr>
          <w:rFonts w:ascii="Tahoma" w:hAnsi="Tahoma" w:cs="Tahoma"/>
          <w:sz w:val="24"/>
          <w:szCs w:val="24"/>
          <w:u w:val="single"/>
        </w:rPr>
        <w:t>Comité de Transparencia expedirá una resolución que confirme la inexistencia</w:t>
      </w:r>
      <w:r w:rsidRPr="0060711B">
        <w:rPr>
          <w:rFonts w:ascii="Tahoma" w:hAnsi="Tahoma" w:cs="Tahoma"/>
          <w:sz w:val="24"/>
          <w:szCs w:val="24"/>
        </w:rPr>
        <w:t xml:space="preserve"> del documento y la notificara al solicitante.</w:t>
      </w:r>
    </w:p>
    <w:p w:rsidR="009E0861" w:rsidRPr="0060711B" w:rsidRDefault="009E0861" w:rsidP="0060711B">
      <w:pPr>
        <w:spacing w:after="0" w:line="276" w:lineRule="auto"/>
        <w:jc w:val="both"/>
        <w:rPr>
          <w:rFonts w:ascii="Tahoma" w:hAnsi="Tahoma" w:cs="Tahoma"/>
          <w:sz w:val="24"/>
          <w:szCs w:val="24"/>
        </w:rPr>
      </w:pPr>
    </w:p>
    <w:p w:rsidR="009E0861" w:rsidRPr="0060711B" w:rsidRDefault="009E0861" w:rsidP="0060711B">
      <w:pPr>
        <w:spacing w:after="0" w:line="276" w:lineRule="auto"/>
        <w:jc w:val="both"/>
        <w:rPr>
          <w:rFonts w:ascii="Tahoma" w:hAnsi="Tahoma" w:cs="Tahoma"/>
          <w:sz w:val="24"/>
          <w:szCs w:val="24"/>
        </w:rPr>
      </w:pPr>
      <w:r w:rsidRPr="0060711B">
        <w:rPr>
          <w:rFonts w:ascii="Tahoma" w:hAnsi="Tahoma" w:cs="Tahoma"/>
          <w:sz w:val="24"/>
          <w:szCs w:val="24"/>
        </w:rPr>
        <w:t xml:space="preserve">Así pues, de lo anterior se desprende que los </w:t>
      </w:r>
      <w:r w:rsidRPr="0060711B">
        <w:rPr>
          <w:rFonts w:ascii="Tahoma" w:hAnsi="Tahoma" w:cs="Tahoma"/>
          <w:b/>
          <w:sz w:val="24"/>
          <w:szCs w:val="24"/>
        </w:rPr>
        <w:t>Comités de Transparencia</w:t>
      </w:r>
      <w:r w:rsidRPr="0060711B">
        <w:rPr>
          <w:rFonts w:ascii="Tahoma" w:hAnsi="Tahoma" w:cs="Tahoma"/>
          <w:sz w:val="24"/>
          <w:szCs w:val="24"/>
        </w:rPr>
        <w:t xml:space="preserve"> se encuentran obligados a emitir una </w:t>
      </w:r>
      <w:r w:rsidRPr="0060711B">
        <w:rPr>
          <w:rFonts w:ascii="Tahoma" w:hAnsi="Tahoma" w:cs="Tahoma"/>
          <w:b/>
          <w:sz w:val="24"/>
          <w:szCs w:val="24"/>
        </w:rPr>
        <w:t>resolución</w:t>
      </w:r>
      <w:r w:rsidRPr="0060711B">
        <w:rPr>
          <w:rFonts w:ascii="Tahoma" w:hAnsi="Tahoma" w:cs="Tahoma"/>
          <w:sz w:val="24"/>
          <w:szCs w:val="24"/>
        </w:rPr>
        <w:t xml:space="preserve"> al acaecer dos supuestos: (i) que la información solicitada resulte clasificada y, (ii) que la información solicitada no se encuentre en los archivos del </w:t>
      </w:r>
      <w:r w:rsidR="009039FE" w:rsidRPr="0060711B">
        <w:rPr>
          <w:rFonts w:ascii="Tahoma" w:hAnsi="Tahoma" w:cs="Tahoma"/>
          <w:sz w:val="24"/>
          <w:szCs w:val="24"/>
        </w:rPr>
        <w:t>Sujeto Obligado</w:t>
      </w:r>
      <w:r w:rsidRPr="0060711B">
        <w:rPr>
          <w:rFonts w:ascii="Tahoma" w:hAnsi="Tahoma" w:cs="Tahoma"/>
          <w:sz w:val="24"/>
          <w:szCs w:val="24"/>
        </w:rPr>
        <w:t xml:space="preserve">; quedando en el ámbito de la </w:t>
      </w:r>
      <w:r w:rsidRPr="0060711B">
        <w:rPr>
          <w:rFonts w:ascii="Tahoma" w:hAnsi="Tahoma" w:cs="Tahoma"/>
          <w:b/>
          <w:sz w:val="24"/>
          <w:szCs w:val="24"/>
        </w:rPr>
        <w:t>Unidad de Transparencia la declaración de incompetencia</w:t>
      </w:r>
      <w:r w:rsidRPr="0060711B">
        <w:rPr>
          <w:rFonts w:ascii="Tahoma" w:hAnsi="Tahoma" w:cs="Tahoma"/>
          <w:sz w:val="24"/>
          <w:szCs w:val="24"/>
        </w:rPr>
        <w:t>.</w:t>
      </w:r>
    </w:p>
    <w:p w:rsidR="009E0861" w:rsidRPr="0060711B" w:rsidRDefault="009E0861" w:rsidP="0060711B">
      <w:pPr>
        <w:spacing w:after="0" w:line="276" w:lineRule="auto"/>
        <w:jc w:val="both"/>
        <w:rPr>
          <w:rFonts w:ascii="Tahoma" w:hAnsi="Tahoma" w:cs="Tahoma"/>
          <w:sz w:val="24"/>
          <w:szCs w:val="24"/>
        </w:rPr>
      </w:pPr>
    </w:p>
    <w:p w:rsidR="009E0861" w:rsidRPr="0060711B" w:rsidRDefault="009E0861" w:rsidP="0060711B">
      <w:pPr>
        <w:spacing w:after="0" w:line="276" w:lineRule="auto"/>
        <w:jc w:val="both"/>
        <w:rPr>
          <w:rFonts w:ascii="Tahoma" w:hAnsi="Tahoma" w:cs="Tahoma"/>
          <w:sz w:val="24"/>
          <w:szCs w:val="24"/>
        </w:rPr>
      </w:pPr>
      <w:r w:rsidRPr="0060711B">
        <w:rPr>
          <w:rFonts w:ascii="Tahoma" w:hAnsi="Tahoma" w:cs="Tahoma"/>
          <w:sz w:val="24"/>
          <w:szCs w:val="24"/>
        </w:rPr>
        <w:t>Por tanto, adminiculando lo dispuesto por el Título Segundo con lo establecido por el Titulo Sé</w:t>
      </w:r>
      <w:r w:rsidR="00447F6F" w:rsidRPr="0060711B">
        <w:rPr>
          <w:rFonts w:ascii="Tahoma" w:hAnsi="Tahoma" w:cs="Tahoma"/>
          <w:sz w:val="24"/>
          <w:szCs w:val="24"/>
        </w:rPr>
        <w:t>p</w:t>
      </w:r>
      <w:r w:rsidRPr="0060711B">
        <w:rPr>
          <w:rFonts w:ascii="Tahoma" w:hAnsi="Tahoma" w:cs="Tahoma"/>
          <w:sz w:val="24"/>
          <w:szCs w:val="24"/>
        </w:rPr>
        <w:t xml:space="preserve">timo, se tiene que los Comités de Transparencia, como máxima autoridad </w:t>
      </w:r>
      <w:r w:rsidR="00097988" w:rsidRPr="0060711B">
        <w:rPr>
          <w:rFonts w:ascii="Tahoma" w:hAnsi="Tahoma" w:cs="Tahoma"/>
          <w:sz w:val="24"/>
          <w:szCs w:val="24"/>
        </w:rPr>
        <w:t xml:space="preserve">al interior del </w:t>
      </w:r>
      <w:r w:rsidR="009039FE" w:rsidRPr="0060711B">
        <w:rPr>
          <w:rFonts w:ascii="Tahoma" w:hAnsi="Tahoma" w:cs="Tahoma"/>
          <w:sz w:val="24"/>
          <w:szCs w:val="24"/>
        </w:rPr>
        <w:t>Sujeto Obligado</w:t>
      </w:r>
      <w:r w:rsidR="00097988" w:rsidRPr="0060711B">
        <w:rPr>
          <w:rFonts w:ascii="Tahoma" w:hAnsi="Tahoma" w:cs="Tahoma"/>
          <w:sz w:val="24"/>
          <w:szCs w:val="24"/>
        </w:rPr>
        <w:t>,</w:t>
      </w:r>
      <w:r w:rsidRPr="0060711B">
        <w:rPr>
          <w:rFonts w:ascii="Tahoma" w:hAnsi="Tahoma" w:cs="Tahoma"/>
          <w:sz w:val="24"/>
          <w:szCs w:val="24"/>
        </w:rPr>
        <w:t xml:space="preserve"> cuentan con atribuciones para revisar las determinaciones que efectúen los titulares de las áreas, en materia de ampliación del plazo de respuesta, clasificación de la información y declaración de inexistencia o de incompetencia, </w:t>
      </w:r>
      <w:r w:rsidRPr="0060711B">
        <w:rPr>
          <w:rFonts w:ascii="Tahoma" w:hAnsi="Tahoma" w:cs="Tahoma"/>
          <w:sz w:val="24"/>
          <w:szCs w:val="24"/>
          <w:u w:val="single"/>
        </w:rPr>
        <w:t>pero únicamente se encuentran obligados a emitir una resolución para su notificación al solicitante, cuando la información solicitada resulte clasificada o inexistente</w:t>
      </w:r>
      <w:r w:rsidRPr="0060711B">
        <w:rPr>
          <w:rFonts w:ascii="Tahoma" w:hAnsi="Tahoma" w:cs="Tahoma"/>
          <w:sz w:val="24"/>
          <w:szCs w:val="24"/>
        </w:rPr>
        <w:t>.</w:t>
      </w:r>
    </w:p>
    <w:p w:rsidR="009E0861" w:rsidRPr="0060711B" w:rsidRDefault="009E0861" w:rsidP="0060711B">
      <w:pPr>
        <w:spacing w:after="0" w:line="276" w:lineRule="auto"/>
        <w:jc w:val="both"/>
        <w:rPr>
          <w:rFonts w:ascii="Tahoma" w:hAnsi="Tahoma" w:cs="Tahoma"/>
          <w:sz w:val="20"/>
          <w:szCs w:val="24"/>
        </w:rPr>
      </w:pPr>
    </w:p>
    <w:p w:rsidR="009E0861" w:rsidRPr="0060711B" w:rsidRDefault="009E0861" w:rsidP="0060711B">
      <w:pPr>
        <w:spacing w:after="0" w:line="276" w:lineRule="auto"/>
        <w:jc w:val="both"/>
        <w:rPr>
          <w:rFonts w:ascii="Tahoma" w:hAnsi="Tahoma" w:cs="Tahoma"/>
          <w:sz w:val="24"/>
          <w:szCs w:val="24"/>
        </w:rPr>
      </w:pPr>
      <w:r w:rsidRPr="0060711B">
        <w:rPr>
          <w:rFonts w:ascii="Tahoma" w:hAnsi="Tahoma" w:cs="Tahoma"/>
          <w:sz w:val="24"/>
          <w:szCs w:val="24"/>
        </w:rPr>
        <w:t xml:space="preserve">En otras palabras, los Comités de Transparencia actúan en dos ámbitos, el primero: al interior del </w:t>
      </w:r>
      <w:r w:rsidR="009039FE" w:rsidRPr="0060711B">
        <w:rPr>
          <w:rFonts w:ascii="Tahoma" w:hAnsi="Tahoma" w:cs="Tahoma"/>
          <w:sz w:val="24"/>
          <w:szCs w:val="24"/>
        </w:rPr>
        <w:t>Sujeto Obligado</w:t>
      </w:r>
      <w:r w:rsidRPr="0060711B">
        <w:rPr>
          <w:rFonts w:ascii="Tahoma" w:hAnsi="Tahoma" w:cs="Tahoma"/>
          <w:sz w:val="24"/>
          <w:szCs w:val="24"/>
        </w:rPr>
        <w:t>, facultados para evitar la arbitrariedad y la toma de decisiones unilaterales en materia de transparencia por parte de los titulares de las áreas poseedoras de la información y, el segundo: al exterior, con la finalidad de brindar certeza jurídica a los solicitantes de que la máxima autoridad al interior de los sujetos obligados en materia de transparencia, conoció y resolvió sobre la clasificación o la inexistencia de la información.</w:t>
      </w:r>
    </w:p>
    <w:p w:rsidR="009E0861" w:rsidRPr="0060711B" w:rsidRDefault="009E0861" w:rsidP="0060711B">
      <w:pPr>
        <w:spacing w:after="0" w:line="276" w:lineRule="auto"/>
        <w:jc w:val="both"/>
        <w:rPr>
          <w:rFonts w:ascii="Tahoma" w:hAnsi="Tahoma" w:cs="Tahoma"/>
          <w:sz w:val="18"/>
          <w:szCs w:val="24"/>
        </w:rPr>
      </w:pPr>
    </w:p>
    <w:p w:rsidR="009E0861" w:rsidRPr="0060711B" w:rsidRDefault="009E0861" w:rsidP="0060711B">
      <w:pPr>
        <w:spacing w:after="0" w:line="276" w:lineRule="auto"/>
        <w:jc w:val="both"/>
        <w:rPr>
          <w:rFonts w:ascii="Tahoma" w:hAnsi="Tahoma" w:cs="Tahoma"/>
          <w:sz w:val="24"/>
          <w:szCs w:val="24"/>
        </w:rPr>
      </w:pPr>
      <w:r w:rsidRPr="0060711B">
        <w:rPr>
          <w:rFonts w:ascii="Tahoma" w:hAnsi="Tahoma" w:cs="Tahoma"/>
          <w:sz w:val="24"/>
          <w:szCs w:val="24"/>
        </w:rPr>
        <w:t xml:space="preserve">Lo que lleva a concluir, que las atribuciones conferidas a los Comités de Transparencia para confirmar, modificar o revocar las determinaciones que en materia de ampliación del plazo de respuesta o de incompetencia, realicen los titulares de las áreas de los sujetos obligados, tienen como único fin evitar la </w:t>
      </w:r>
      <w:r w:rsidRPr="0060711B">
        <w:rPr>
          <w:rFonts w:ascii="Tahoma" w:hAnsi="Tahoma" w:cs="Tahoma"/>
          <w:sz w:val="24"/>
          <w:szCs w:val="24"/>
        </w:rPr>
        <w:lastRenderedPageBreak/>
        <w:t>arbitrariedad de las decisiones en materia de transparencia al interior de los sujetos obligados.</w:t>
      </w:r>
    </w:p>
    <w:p w:rsidR="009E0861" w:rsidRPr="0060711B" w:rsidRDefault="009E0861" w:rsidP="0060711B">
      <w:pPr>
        <w:spacing w:after="0" w:line="276" w:lineRule="auto"/>
        <w:jc w:val="both"/>
        <w:rPr>
          <w:rFonts w:ascii="Tahoma" w:hAnsi="Tahoma" w:cs="Tahoma"/>
          <w:sz w:val="18"/>
          <w:szCs w:val="24"/>
        </w:rPr>
      </w:pPr>
    </w:p>
    <w:p w:rsidR="009E0861" w:rsidRPr="0060711B" w:rsidRDefault="00006F73" w:rsidP="0060711B">
      <w:pPr>
        <w:spacing w:after="0" w:line="276" w:lineRule="auto"/>
        <w:jc w:val="both"/>
        <w:rPr>
          <w:rFonts w:ascii="Tahoma" w:hAnsi="Tahoma" w:cs="Tahoma"/>
          <w:sz w:val="24"/>
          <w:szCs w:val="24"/>
        </w:rPr>
      </w:pPr>
      <w:r w:rsidRPr="0060711B">
        <w:rPr>
          <w:rFonts w:ascii="Tahoma" w:hAnsi="Tahoma" w:cs="Tahoma"/>
          <w:sz w:val="24"/>
          <w:szCs w:val="24"/>
        </w:rPr>
        <w:t>Por tanto, si bien</w:t>
      </w:r>
      <w:r w:rsidR="00D15D07" w:rsidRPr="0060711B">
        <w:rPr>
          <w:rFonts w:ascii="Tahoma" w:hAnsi="Tahoma" w:cs="Tahoma"/>
          <w:sz w:val="24"/>
          <w:szCs w:val="24"/>
        </w:rPr>
        <w:t xml:space="preserve"> destaca</w:t>
      </w:r>
      <w:r w:rsidR="009E0861" w:rsidRPr="0060711B">
        <w:rPr>
          <w:rFonts w:ascii="Tahoma" w:hAnsi="Tahoma" w:cs="Tahoma"/>
          <w:sz w:val="24"/>
          <w:szCs w:val="24"/>
        </w:rPr>
        <w:t xml:space="preserve"> que el propósito de mis colegas cuando instruyen al Comité de Transparencia emitir una resolución de incompetencia, ha sido dotar de plena certeza jurídica la respuesta a una solicitud de información</w:t>
      </w:r>
      <w:r w:rsidR="00D15D07" w:rsidRPr="0060711B">
        <w:rPr>
          <w:rFonts w:ascii="Tahoma" w:hAnsi="Tahoma" w:cs="Tahoma"/>
          <w:sz w:val="24"/>
          <w:szCs w:val="24"/>
        </w:rPr>
        <w:t>;</w:t>
      </w:r>
      <w:r w:rsidR="009E0861" w:rsidRPr="0060711B">
        <w:rPr>
          <w:rFonts w:ascii="Tahoma" w:hAnsi="Tahoma" w:cs="Tahoma"/>
          <w:sz w:val="24"/>
          <w:szCs w:val="24"/>
        </w:rPr>
        <w:t xml:space="preserve"> lo cierto es</w:t>
      </w:r>
      <w:r w:rsidR="00D15D07" w:rsidRPr="0060711B">
        <w:rPr>
          <w:rFonts w:ascii="Tahoma" w:hAnsi="Tahoma" w:cs="Tahoma"/>
          <w:sz w:val="24"/>
          <w:szCs w:val="24"/>
        </w:rPr>
        <w:t>,</w:t>
      </w:r>
      <w:r w:rsidR="009E0861" w:rsidRPr="0060711B">
        <w:rPr>
          <w:rFonts w:ascii="Tahoma" w:hAnsi="Tahoma" w:cs="Tahoma"/>
          <w:sz w:val="24"/>
          <w:szCs w:val="24"/>
        </w:rPr>
        <w:t xml:space="preserve"> que </w:t>
      </w:r>
      <w:r w:rsidR="00A96933" w:rsidRPr="0060711B">
        <w:rPr>
          <w:rFonts w:ascii="Tahoma" w:hAnsi="Tahoma" w:cs="Tahoma"/>
          <w:sz w:val="24"/>
          <w:szCs w:val="24"/>
        </w:rPr>
        <w:t xml:space="preserve">cuando la misma deviene del marco normativo del </w:t>
      </w:r>
      <w:r w:rsidR="009039FE" w:rsidRPr="0060711B">
        <w:rPr>
          <w:rFonts w:ascii="Tahoma" w:hAnsi="Tahoma" w:cs="Tahoma"/>
          <w:sz w:val="24"/>
          <w:szCs w:val="24"/>
        </w:rPr>
        <w:t>Sujeto Obligado</w:t>
      </w:r>
      <w:r w:rsidR="00A96933" w:rsidRPr="0060711B">
        <w:rPr>
          <w:rFonts w:ascii="Tahoma" w:hAnsi="Tahoma" w:cs="Tahoma"/>
          <w:sz w:val="24"/>
          <w:szCs w:val="24"/>
        </w:rPr>
        <w:t xml:space="preserve"> y además que </w:t>
      </w:r>
      <w:r w:rsidRPr="0060711B">
        <w:rPr>
          <w:rFonts w:ascii="Tahoma" w:hAnsi="Tahoma" w:cs="Tahoma"/>
          <w:sz w:val="24"/>
          <w:szCs w:val="24"/>
        </w:rPr>
        <w:t>l</w:t>
      </w:r>
      <w:r w:rsidR="009E0861" w:rsidRPr="0060711B">
        <w:rPr>
          <w:rFonts w:ascii="Tahoma" w:hAnsi="Tahoma" w:cs="Tahoma"/>
          <w:sz w:val="24"/>
          <w:szCs w:val="24"/>
        </w:rPr>
        <w:t xml:space="preserve">a resolución elaborada por </w:t>
      </w:r>
      <w:r w:rsidR="00624DE5" w:rsidRPr="0060711B">
        <w:rPr>
          <w:rFonts w:ascii="Tahoma" w:hAnsi="Tahoma" w:cs="Tahoma"/>
          <w:sz w:val="24"/>
          <w:szCs w:val="24"/>
        </w:rPr>
        <w:t>e</w:t>
      </w:r>
      <w:r w:rsidR="009E0861" w:rsidRPr="0060711B">
        <w:rPr>
          <w:rFonts w:ascii="Tahoma" w:hAnsi="Tahoma" w:cs="Tahoma"/>
          <w:sz w:val="24"/>
          <w:szCs w:val="24"/>
        </w:rPr>
        <w:t>l Comisionad</w:t>
      </w:r>
      <w:r w:rsidR="00624DE5" w:rsidRPr="0060711B">
        <w:rPr>
          <w:rFonts w:ascii="Tahoma" w:hAnsi="Tahoma" w:cs="Tahoma"/>
          <w:sz w:val="24"/>
          <w:szCs w:val="24"/>
        </w:rPr>
        <w:t>o</w:t>
      </w:r>
      <w:r w:rsidR="009E0861" w:rsidRPr="0060711B">
        <w:rPr>
          <w:rFonts w:ascii="Tahoma" w:hAnsi="Tahoma" w:cs="Tahoma"/>
          <w:sz w:val="24"/>
          <w:szCs w:val="24"/>
        </w:rPr>
        <w:t xml:space="preserve"> Ponente contiene todos los elementos para dotar de plena certeza jurídica al </w:t>
      </w:r>
      <w:r w:rsidRPr="0060711B">
        <w:rPr>
          <w:rFonts w:ascii="Tahoma" w:hAnsi="Tahoma" w:cs="Tahoma"/>
          <w:sz w:val="24"/>
          <w:szCs w:val="24"/>
        </w:rPr>
        <w:t>ahora recurrente</w:t>
      </w:r>
      <w:r w:rsidR="009E0861" w:rsidRPr="0060711B">
        <w:rPr>
          <w:rFonts w:ascii="Tahoma" w:hAnsi="Tahoma" w:cs="Tahoma"/>
          <w:sz w:val="24"/>
          <w:szCs w:val="24"/>
        </w:rPr>
        <w:t xml:space="preserve"> respecto de la incompetencia del </w:t>
      </w:r>
      <w:r w:rsidR="009039FE" w:rsidRPr="0060711B">
        <w:rPr>
          <w:rFonts w:ascii="Tahoma" w:hAnsi="Tahoma" w:cs="Tahoma"/>
          <w:sz w:val="24"/>
          <w:szCs w:val="24"/>
        </w:rPr>
        <w:t>Sujeto Obligado</w:t>
      </w:r>
      <w:r w:rsidR="009E0861" w:rsidRPr="0060711B">
        <w:rPr>
          <w:rFonts w:ascii="Tahoma" w:hAnsi="Tahoma" w:cs="Tahoma"/>
          <w:sz w:val="24"/>
          <w:szCs w:val="24"/>
        </w:rPr>
        <w:t xml:space="preserve"> para contar con la información </w:t>
      </w:r>
      <w:r w:rsidR="001A6BD9" w:rsidRPr="0060711B">
        <w:rPr>
          <w:rFonts w:ascii="Tahoma" w:hAnsi="Tahoma" w:cs="Tahoma"/>
          <w:sz w:val="24"/>
          <w:szCs w:val="24"/>
        </w:rPr>
        <w:t>materia de la solicitud</w:t>
      </w:r>
      <w:r w:rsidR="009E0861" w:rsidRPr="0060711B">
        <w:rPr>
          <w:rFonts w:ascii="Tahoma" w:hAnsi="Tahoma" w:cs="Tahoma"/>
          <w:sz w:val="24"/>
          <w:szCs w:val="24"/>
        </w:rPr>
        <w:t>, aunado a que</w:t>
      </w:r>
      <w:r w:rsidR="001A6BD9" w:rsidRPr="0060711B">
        <w:rPr>
          <w:rFonts w:ascii="Tahoma" w:hAnsi="Tahoma" w:cs="Tahoma"/>
          <w:sz w:val="24"/>
          <w:szCs w:val="24"/>
        </w:rPr>
        <w:t xml:space="preserve"> dicha incompetencia</w:t>
      </w:r>
      <w:r w:rsidR="009E0861" w:rsidRPr="0060711B">
        <w:rPr>
          <w:rFonts w:ascii="Tahoma" w:hAnsi="Tahoma" w:cs="Tahoma"/>
          <w:sz w:val="24"/>
          <w:szCs w:val="24"/>
        </w:rPr>
        <w:t xml:space="preserve"> fue validada por unanimidad por los integrantes del Pleno de este Instituto, máxima autoridad local en el derecho de acceso a la información; </w:t>
      </w:r>
      <w:r w:rsidR="001A6BD9" w:rsidRPr="0060711B">
        <w:rPr>
          <w:rFonts w:ascii="Tahoma" w:hAnsi="Tahoma" w:cs="Tahoma"/>
          <w:sz w:val="24"/>
          <w:szCs w:val="24"/>
        </w:rPr>
        <w:t xml:space="preserve">se </w:t>
      </w:r>
      <w:r w:rsidRPr="0060711B">
        <w:rPr>
          <w:rFonts w:ascii="Tahoma" w:hAnsi="Tahoma" w:cs="Tahoma"/>
          <w:sz w:val="24"/>
          <w:szCs w:val="24"/>
        </w:rPr>
        <w:t>vuelve</w:t>
      </w:r>
      <w:r w:rsidR="009E0861" w:rsidRPr="0060711B">
        <w:rPr>
          <w:rFonts w:ascii="Tahoma" w:hAnsi="Tahoma" w:cs="Tahoma"/>
          <w:sz w:val="24"/>
          <w:szCs w:val="24"/>
        </w:rPr>
        <w:t xml:space="preserve"> innecesaria una resolución por parte de un Comité de Transparencia</w:t>
      </w:r>
      <w:r w:rsidR="001A6BD9" w:rsidRPr="0060711B">
        <w:rPr>
          <w:rFonts w:ascii="Tahoma" w:hAnsi="Tahoma" w:cs="Tahoma"/>
          <w:sz w:val="24"/>
          <w:szCs w:val="24"/>
        </w:rPr>
        <w:t xml:space="preserve"> de menor jerarquía</w:t>
      </w:r>
      <w:r w:rsidR="009E0861" w:rsidRPr="0060711B">
        <w:rPr>
          <w:rFonts w:ascii="Tahoma" w:hAnsi="Tahoma" w:cs="Tahoma"/>
          <w:sz w:val="24"/>
          <w:szCs w:val="24"/>
        </w:rPr>
        <w:t>.</w:t>
      </w:r>
    </w:p>
    <w:p w:rsidR="009E0861" w:rsidRPr="0060711B" w:rsidRDefault="009E0861" w:rsidP="0060711B">
      <w:pPr>
        <w:spacing w:after="0" w:line="276" w:lineRule="auto"/>
        <w:jc w:val="both"/>
        <w:rPr>
          <w:rFonts w:ascii="Tahoma" w:hAnsi="Tahoma" w:cs="Tahoma"/>
          <w:sz w:val="18"/>
          <w:szCs w:val="24"/>
        </w:rPr>
      </w:pPr>
    </w:p>
    <w:p w:rsidR="009E0861" w:rsidRPr="0060711B" w:rsidRDefault="00A96933" w:rsidP="0060711B">
      <w:pPr>
        <w:spacing w:after="0" w:line="276" w:lineRule="auto"/>
        <w:jc w:val="both"/>
        <w:rPr>
          <w:rFonts w:ascii="Tahoma" w:hAnsi="Tahoma" w:cs="Tahoma"/>
          <w:spacing w:val="-4"/>
          <w:sz w:val="24"/>
          <w:szCs w:val="24"/>
        </w:rPr>
      </w:pPr>
      <w:r w:rsidRPr="0060711B">
        <w:rPr>
          <w:rFonts w:ascii="Tahoma" w:hAnsi="Tahoma" w:cs="Tahoma"/>
          <w:spacing w:val="-4"/>
          <w:sz w:val="24"/>
          <w:szCs w:val="24"/>
        </w:rPr>
        <w:t>Interpretar la norma en sentido</w:t>
      </w:r>
      <w:r w:rsidR="009E0861" w:rsidRPr="0060711B">
        <w:rPr>
          <w:rFonts w:ascii="Tahoma" w:hAnsi="Tahoma" w:cs="Tahoma"/>
          <w:spacing w:val="-4"/>
          <w:sz w:val="24"/>
          <w:szCs w:val="24"/>
        </w:rPr>
        <w:t xml:space="preserve"> contrario, </w:t>
      </w:r>
      <w:r w:rsidRPr="0060711B">
        <w:rPr>
          <w:rFonts w:ascii="Tahoma" w:hAnsi="Tahoma" w:cs="Tahoma"/>
          <w:spacing w:val="-4"/>
          <w:sz w:val="24"/>
          <w:szCs w:val="24"/>
        </w:rPr>
        <w:t xml:space="preserve">propicia dilatar la entrega de respuestas a los solicitantes, ya que los Sujetos Obligados, </w:t>
      </w:r>
      <w:r w:rsidR="009E0861" w:rsidRPr="0060711B">
        <w:rPr>
          <w:rFonts w:ascii="Tahoma" w:hAnsi="Tahoma" w:cs="Tahoma"/>
          <w:spacing w:val="-4"/>
          <w:sz w:val="24"/>
          <w:szCs w:val="24"/>
        </w:rPr>
        <w:t xml:space="preserve">con la finalidad </w:t>
      </w:r>
      <w:r w:rsidRPr="0060711B">
        <w:rPr>
          <w:rFonts w:ascii="Tahoma" w:hAnsi="Tahoma" w:cs="Tahoma"/>
          <w:spacing w:val="-4"/>
          <w:sz w:val="24"/>
          <w:szCs w:val="24"/>
        </w:rPr>
        <w:t>emitir l</w:t>
      </w:r>
      <w:r w:rsidR="009E0861" w:rsidRPr="0060711B">
        <w:rPr>
          <w:rFonts w:ascii="Tahoma" w:hAnsi="Tahoma" w:cs="Tahoma"/>
          <w:spacing w:val="-4"/>
          <w:sz w:val="24"/>
          <w:szCs w:val="24"/>
        </w:rPr>
        <w:t xml:space="preserve">a resolución </w:t>
      </w:r>
      <w:r w:rsidRPr="0060711B">
        <w:rPr>
          <w:rFonts w:ascii="Tahoma" w:hAnsi="Tahoma" w:cs="Tahoma"/>
          <w:spacing w:val="-4"/>
          <w:sz w:val="24"/>
          <w:szCs w:val="24"/>
        </w:rPr>
        <w:t xml:space="preserve">respectiva, podrían agotar el plazo de quince días para responder o incluso el plazo de la ampliación, </w:t>
      </w:r>
      <w:r w:rsidR="00D45BDF" w:rsidRPr="0060711B">
        <w:rPr>
          <w:rFonts w:ascii="Tahoma" w:hAnsi="Tahoma" w:cs="Tahoma"/>
          <w:spacing w:val="-4"/>
          <w:sz w:val="24"/>
          <w:szCs w:val="24"/>
        </w:rPr>
        <w:t>sólo con la finalidad de</w:t>
      </w:r>
      <w:r w:rsidR="009E0861" w:rsidRPr="0060711B">
        <w:rPr>
          <w:rFonts w:ascii="Tahoma" w:hAnsi="Tahoma" w:cs="Tahoma"/>
          <w:spacing w:val="-4"/>
          <w:sz w:val="24"/>
          <w:szCs w:val="24"/>
        </w:rPr>
        <w:t xml:space="preserve"> que el Comité de Transparen</w:t>
      </w:r>
      <w:r w:rsidRPr="0060711B">
        <w:rPr>
          <w:rFonts w:ascii="Tahoma" w:hAnsi="Tahoma" w:cs="Tahoma"/>
          <w:spacing w:val="-4"/>
          <w:sz w:val="24"/>
          <w:szCs w:val="24"/>
        </w:rPr>
        <w:t xml:space="preserve">cia pueda sesionar y </w:t>
      </w:r>
      <w:r w:rsidR="00D45BDF" w:rsidRPr="0060711B">
        <w:rPr>
          <w:rFonts w:ascii="Tahoma" w:hAnsi="Tahoma" w:cs="Tahoma"/>
          <w:spacing w:val="-4"/>
          <w:sz w:val="24"/>
          <w:szCs w:val="24"/>
        </w:rPr>
        <w:t>emitir el Acuerdo correspondiente</w:t>
      </w:r>
      <w:r w:rsidR="0014038B" w:rsidRPr="0060711B">
        <w:rPr>
          <w:rFonts w:ascii="Tahoma" w:hAnsi="Tahoma" w:cs="Tahoma"/>
          <w:spacing w:val="-4"/>
          <w:sz w:val="24"/>
          <w:szCs w:val="24"/>
        </w:rPr>
        <w:t>;</w:t>
      </w:r>
      <w:r w:rsidR="009E0861" w:rsidRPr="0060711B">
        <w:rPr>
          <w:rFonts w:ascii="Tahoma" w:hAnsi="Tahoma" w:cs="Tahoma"/>
          <w:spacing w:val="-4"/>
          <w:sz w:val="24"/>
          <w:szCs w:val="24"/>
        </w:rPr>
        <w:t xml:space="preserve"> </w:t>
      </w:r>
      <w:r w:rsidR="00D45BDF" w:rsidRPr="0060711B">
        <w:rPr>
          <w:rFonts w:ascii="Tahoma" w:hAnsi="Tahoma" w:cs="Tahoma"/>
          <w:spacing w:val="-4"/>
          <w:sz w:val="24"/>
          <w:szCs w:val="24"/>
        </w:rPr>
        <w:t xml:space="preserve">situación </w:t>
      </w:r>
      <w:r w:rsidR="009E0861" w:rsidRPr="0060711B">
        <w:rPr>
          <w:rFonts w:ascii="Tahoma" w:hAnsi="Tahoma" w:cs="Tahoma"/>
          <w:spacing w:val="-4"/>
          <w:sz w:val="24"/>
          <w:szCs w:val="24"/>
        </w:rPr>
        <w:t xml:space="preserve">que, finalmente, en nada beneficia al solicitante, pues </w:t>
      </w:r>
      <w:r w:rsidR="00D45BDF" w:rsidRPr="0060711B">
        <w:rPr>
          <w:rFonts w:ascii="Tahoma" w:hAnsi="Tahoma" w:cs="Tahoma"/>
          <w:spacing w:val="-4"/>
          <w:sz w:val="24"/>
          <w:szCs w:val="24"/>
        </w:rPr>
        <w:t xml:space="preserve">este </w:t>
      </w:r>
      <w:r w:rsidR="009E0861" w:rsidRPr="0060711B">
        <w:rPr>
          <w:rFonts w:ascii="Tahoma" w:hAnsi="Tahoma" w:cs="Tahoma"/>
          <w:spacing w:val="-4"/>
          <w:sz w:val="24"/>
          <w:szCs w:val="24"/>
        </w:rPr>
        <w:t>continua</w:t>
      </w:r>
      <w:r w:rsidR="00D45BDF" w:rsidRPr="0060711B">
        <w:rPr>
          <w:rFonts w:ascii="Tahoma" w:hAnsi="Tahoma" w:cs="Tahoma"/>
          <w:spacing w:val="-4"/>
          <w:sz w:val="24"/>
          <w:szCs w:val="24"/>
        </w:rPr>
        <w:t>rá</w:t>
      </w:r>
      <w:r w:rsidR="009E0861" w:rsidRPr="0060711B">
        <w:rPr>
          <w:rFonts w:ascii="Tahoma" w:hAnsi="Tahoma" w:cs="Tahoma"/>
          <w:spacing w:val="-4"/>
          <w:sz w:val="24"/>
          <w:szCs w:val="24"/>
        </w:rPr>
        <w:t xml:space="preserve"> sin recibir la información que es de su interés.</w:t>
      </w:r>
    </w:p>
    <w:p w:rsidR="0036006F" w:rsidRPr="0060711B" w:rsidRDefault="0036006F" w:rsidP="0060711B">
      <w:pPr>
        <w:spacing w:after="0" w:line="276" w:lineRule="auto"/>
        <w:jc w:val="both"/>
        <w:rPr>
          <w:rFonts w:ascii="Tahoma" w:hAnsi="Tahoma" w:cs="Tahoma"/>
          <w:spacing w:val="-4"/>
          <w:sz w:val="24"/>
          <w:szCs w:val="24"/>
        </w:rPr>
      </w:pPr>
    </w:p>
    <w:p w:rsidR="009E0861" w:rsidRPr="0060711B" w:rsidRDefault="009E0861" w:rsidP="0060711B">
      <w:pPr>
        <w:spacing w:after="0" w:line="276" w:lineRule="auto"/>
        <w:jc w:val="both"/>
        <w:rPr>
          <w:rFonts w:ascii="Tahoma" w:hAnsi="Tahoma" w:cs="Tahoma"/>
          <w:sz w:val="24"/>
          <w:szCs w:val="24"/>
        </w:rPr>
      </w:pPr>
      <w:r w:rsidRPr="0060711B">
        <w:rPr>
          <w:rFonts w:ascii="Tahoma" w:hAnsi="Tahoma" w:cs="Tahoma"/>
          <w:sz w:val="24"/>
          <w:szCs w:val="24"/>
        </w:rPr>
        <w:t>Por ello, considero que los principios de sencillez y rapidez que deben regir el procedimiento de acceso a la información, tienen que ser observados en todas las determin</w:t>
      </w:r>
      <w:r w:rsidR="004A555E" w:rsidRPr="0060711B">
        <w:rPr>
          <w:rFonts w:ascii="Tahoma" w:hAnsi="Tahoma" w:cs="Tahoma"/>
          <w:sz w:val="24"/>
          <w:szCs w:val="24"/>
        </w:rPr>
        <w:t>aciones que tome este Instituto; e</w:t>
      </w:r>
      <w:r w:rsidRPr="0060711B">
        <w:rPr>
          <w:rFonts w:ascii="Tahoma" w:hAnsi="Tahoma" w:cs="Tahoma"/>
          <w:sz w:val="24"/>
          <w:szCs w:val="24"/>
        </w:rPr>
        <w:t>n ese sentido, omitir la instrucción para que el Comité de Transparencia emita una resolución confirmando la incompetencia, evita que los sujetos obligados generen procedimientos dilatorios en la atención de las s</w:t>
      </w:r>
      <w:r w:rsidR="0014038B" w:rsidRPr="0060711B">
        <w:rPr>
          <w:rFonts w:ascii="Tahoma" w:hAnsi="Tahoma" w:cs="Tahoma"/>
          <w:sz w:val="24"/>
          <w:szCs w:val="24"/>
        </w:rPr>
        <w:t>olicitudes de acceso y permite a</w:t>
      </w:r>
      <w:r w:rsidRPr="0060711B">
        <w:rPr>
          <w:rFonts w:ascii="Tahoma" w:hAnsi="Tahoma" w:cs="Tahoma"/>
          <w:sz w:val="24"/>
          <w:szCs w:val="24"/>
        </w:rPr>
        <w:t>l ciudadano emprender de nueva cuenta, en un menor tiempo, el procedimiento para hacerse de la información que le interesa ante la autoridad que sí es competente para poseerla.</w:t>
      </w:r>
    </w:p>
    <w:p w:rsidR="009E0861" w:rsidRDefault="009E0861" w:rsidP="0060711B">
      <w:pPr>
        <w:spacing w:after="0" w:line="276" w:lineRule="auto"/>
        <w:jc w:val="both"/>
        <w:rPr>
          <w:rFonts w:ascii="Tahoma" w:hAnsi="Tahoma" w:cs="Tahoma"/>
          <w:sz w:val="24"/>
          <w:szCs w:val="24"/>
        </w:rPr>
      </w:pPr>
    </w:p>
    <w:p w:rsidR="00663645" w:rsidRDefault="00663645" w:rsidP="0060711B">
      <w:pPr>
        <w:spacing w:after="0" w:line="276" w:lineRule="auto"/>
        <w:jc w:val="both"/>
        <w:rPr>
          <w:rFonts w:ascii="Tahoma" w:hAnsi="Tahoma" w:cs="Tahoma"/>
          <w:sz w:val="24"/>
          <w:szCs w:val="24"/>
        </w:rPr>
      </w:pPr>
    </w:p>
    <w:p w:rsidR="00663645" w:rsidRDefault="00663645" w:rsidP="0060711B">
      <w:pPr>
        <w:spacing w:after="0" w:line="276" w:lineRule="auto"/>
        <w:jc w:val="both"/>
        <w:rPr>
          <w:rFonts w:ascii="Tahoma" w:hAnsi="Tahoma" w:cs="Tahoma"/>
          <w:sz w:val="24"/>
          <w:szCs w:val="24"/>
        </w:rPr>
      </w:pPr>
    </w:p>
    <w:p w:rsidR="00663645" w:rsidRDefault="00663645" w:rsidP="0060711B">
      <w:pPr>
        <w:spacing w:after="0" w:line="276" w:lineRule="auto"/>
        <w:jc w:val="both"/>
        <w:rPr>
          <w:rFonts w:ascii="Tahoma" w:hAnsi="Tahoma" w:cs="Tahoma"/>
          <w:sz w:val="24"/>
          <w:szCs w:val="24"/>
        </w:rPr>
      </w:pPr>
    </w:p>
    <w:p w:rsidR="00663645" w:rsidRDefault="00663645" w:rsidP="0060711B">
      <w:pPr>
        <w:spacing w:after="0" w:line="276" w:lineRule="auto"/>
        <w:jc w:val="both"/>
        <w:rPr>
          <w:rFonts w:ascii="Tahoma" w:hAnsi="Tahoma" w:cs="Tahoma"/>
          <w:sz w:val="24"/>
          <w:szCs w:val="24"/>
        </w:rPr>
      </w:pPr>
    </w:p>
    <w:p w:rsidR="00663645" w:rsidRPr="0060711B" w:rsidRDefault="00663645" w:rsidP="0060711B">
      <w:pPr>
        <w:spacing w:after="0" w:line="276" w:lineRule="auto"/>
        <w:jc w:val="both"/>
        <w:rPr>
          <w:rFonts w:ascii="Tahoma" w:hAnsi="Tahoma" w:cs="Tahoma"/>
          <w:sz w:val="24"/>
          <w:szCs w:val="24"/>
        </w:rPr>
      </w:pPr>
    </w:p>
    <w:p w:rsidR="0082408A" w:rsidRPr="0060711B" w:rsidRDefault="0082408A" w:rsidP="0060711B">
      <w:pPr>
        <w:spacing w:after="0" w:line="276" w:lineRule="auto"/>
        <w:jc w:val="both"/>
        <w:rPr>
          <w:rFonts w:ascii="Tahoma" w:hAnsi="Tahoma" w:cs="Tahoma"/>
          <w:b/>
          <w:sz w:val="24"/>
          <w:szCs w:val="24"/>
        </w:rPr>
      </w:pPr>
      <w:r w:rsidRPr="0060711B">
        <w:rPr>
          <w:rFonts w:ascii="Tahoma" w:hAnsi="Tahoma" w:cs="Tahoma"/>
          <w:b/>
          <w:sz w:val="24"/>
          <w:szCs w:val="24"/>
        </w:rPr>
        <w:t xml:space="preserve">II) </w:t>
      </w:r>
      <w:r w:rsidR="007C571E" w:rsidRPr="0060711B">
        <w:rPr>
          <w:rFonts w:ascii="Tahoma" w:hAnsi="Tahoma" w:cs="Tahoma"/>
          <w:b/>
          <w:sz w:val="24"/>
          <w:szCs w:val="24"/>
        </w:rPr>
        <w:t>Pronunciamiento sobre la clasificación de los documentos que acreditan el pago del impuesto predial, por tratarse de datos personales</w:t>
      </w:r>
      <w:r w:rsidRPr="0060711B">
        <w:rPr>
          <w:rFonts w:ascii="Tahoma" w:hAnsi="Tahoma" w:cs="Tahoma"/>
          <w:b/>
          <w:sz w:val="24"/>
          <w:szCs w:val="24"/>
        </w:rPr>
        <w:t>.</w:t>
      </w:r>
    </w:p>
    <w:p w:rsidR="0034196E" w:rsidRPr="0060711B" w:rsidRDefault="0034196E" w:rsidP="0060711B">
      <w:pPr>
        <w:spacing w:after="0" w:line="276" w:lineRule="auto"/>
        <w:jc w:val="both"/>
        <w:rPr>
          <w:rFonts w:ascii="Tahoma" w:hAnsi="Tahoma" w:cs="Tahoma"/>
          <w:sz w:val="24"/>
          <w:szCs w:val="24"/>
        </w:rPr>
      </w:pPr>
    </w:p>
    <w:p w:rsidR="0082408A" w:rsidRDefault="0082408A" w:rsidP="0060711B">
      <w:pPr>
        <w:spacing w:after="0" w:line="276" w:lineRule="auto"/>
        <w:jc w:val="both"/>
        <w:rPr>
          <w:rFonts w:ascii="Tahoma" w:hAnsi="Tahoma" w:cs="Tahoma"/>
          <w:sz w:val="24"/>
          <w:szCs w:val="24"/>
        </w:rPr>
      </w:pPr>
      <w:r w:rsidRPr="0060711B">
        <w:rPr>
          <w:rFonts w:ascii="Tahoma" w:hAnsi="Tahoma" w:cs="Tahoma"/>
          <w:sz w:val="24"/>
          <w:szCs w:val="24"/>
        </w:rPr>
        <w:t xml:space="preserve">Por lo que refiere a la solicitud de información consistente en la </w:t>
      </w:r>
      <w:r w:rsidRPr="0060711B">
        <w:rPr>
          <w:rFonts w:ascii="Tahoma" w:hAnsi="Tahoma" w:cs="Tahoma"/>
          <w:b/>
          <w:sz w:val="24"/>
          <w:szCs w:val="24"/>
        </w:rPr>
        <w:t>entrega de documentos relacionados con el pago del impuesto predial</w:t>
      </w:r>
      <w:r w:rsidRPr="0060711B">
        <w:rPr>
          <w:rFonts w:ascii="Tahoma" w:hAnsi="Tahoma" w:cs="Tahoma"/>
          <w:sz w:val="24"/>
          <w:szCs w:val="24"/>
        </w:rPr>
        <w:t xml:space="preserve"> en los dos domicil</w:t>
      </w:r>
      <w:r w:rsidR="005C3930" w:rsidRPr="0060711B">
        <w:rPr>
          <w:rFonts w:ascii="Tahoma" w:hAnsi="Tahoma" w:cs="Tahoma"/>
          <w:sz w:val="24"/>
          <w:szCs w:val="24"/>
        </w:rPr>
        <w:t>ios señalados por la Recurrente;</w:t>
      </w:r>
      <w:r w:rsidRPr="0060711B">
        <w:rPr>
          <w:rFonts w:ascii="Tahoma" w:hAnsi="Tahoma" w:cs="Tahoma"/>
          <w:sz w:val="24"/>
          <w:szCs w:val="24"/>
        </w:rPr>
        <w:t xml:space="preserve"> respecto de los cuales la Ponencia Resolutora instruye la clasificación de la información en su totalidad como confidencial por tratarse de datos personales, es de precisar que si bien, se coincide en que la naturaleza de la información es confidencial, por lo que no procede la entrega por parte del Sujeto Obligado; no se comparte el criterio del fundamento de clasificación, de conformidad con lo siguiente:</w:t>
      </w:r>
    </w:p>
    <w:p w:rsidR="006D5B7A" w:rsidRPr="0060711B" w:rsidRDefault="006D5B7A" w:rsidP="0060711B">
      <w:pPr>
        <w:spacing w:after="0" w:line="276" w:lineRule="auto"/>
        <w:jc w:val="both"/>
        <w:rPr>
          <w:rFonts w:ascii="Tahoma" w:hAnsi="Tahoma" w:cs="Tahoma"/>
          <w:sz w:val="24"/>
          <w:szCs w:val="24"/>
        </w:rPr>
      </w:pPr>
    </w:p>
    <w:p w:rsidR="0082408A" w:rsidRPr="0060711B" w:rsidRDefault="0082408A" w:rsidP="0060711B">
      <w:pPr>
        <w:spacing w:after="0" w:line="276" w:lineRule="auto"/>
        <w:jc w:val="both"/>
        <w:rPr>
          <w:rFonts w:ascii="Tahoma" w:hAnsi="Tahoma" w:cs="Tahoma"/>
          <w:sz w:val="24"/>
          <w:szCs w:val="24"/>
        </w:rPr>
      </w:pPr>
      <w:r w:rsidRPr="0060711B">
        <w:rPr>
          <w:rFonts w:ascii="Tahoma" w:hAnsi="Tahoma" w:cs="Tahoma"/>
          <w:sz w:val="24"/>
          <w:szCs w:val="24"/>
        </w:rPr>
        <w:t>Respecto del primer predio, se precisó en el informe justificado que su titular es una persona jurídico-colectiva privada y del segundo, si bien, no se precisa el tipo de persona que ostenta la propiedad del inmueble, de las constancias analizadas, no se desprendió que se tratara de una propiedad del Ayuntamiento; en este orden de ideas, la información corresponde a particulares respecto de los cuales no se argumentó ni acreditó que, estuvieran vinculadas con el ejercicio de recursos públicos o de atribuciones conferidas a algún servidor público adscrito al Ayuntamiento, lo que da por resultado que la información versa en su totalidad sobre particulares.</w:t>
      </w:r>
    </w:p>
    <w:p w:rsidR="0082408A" w:rsidRPr="0060711B" w:rsidRDefault="0082408A" w:rsidP="0060711B">
      <w:pPr>
        <w:spacing w:after="0" w:line="276" w:lineRule="auto"/>
        <w:jc w:val="both"/>
        <w:rPr>
          <w:rFonts w:ascii="Tahoma" w:hAnsi="Tahoma" w:cs="Tahoma"/>
          <w:sz w:val="24"/>
          <w:szCs w:val="24"/>
        </w:rPr>
      </w:pPr>
    </w:p>
    <w:p w:rsidR="0082408A" w:rsidRPr="0060711B" w:rsidRDefault="0082408A" w:rsidP="0060711B">
      <w:pPr>
        <w:spacing w:after="0" w:line="276" w:lineRule="auto"/>
        <w:jc w:val="both"/>
        <w:rPr>
          <w:rFonts w:ascii="Tahoma" w:hAnsi="Tahoma" w:cs="Tahoma"/>
          <w:b/>
          <w:sz w:val="24"/>
          <w:szCs w:val="24"/>
        </w:rPr>
      </w:pPr>
      <w:r w:rsidRPr="0060711B">
        <w:rPr>
          <w:rFonts w:ascii="Tahoma" w:hAnsi="Tahoma" w:cs="Tahoma"/>
          <w:sz w:val="24"/>
          <w:szCs w:val="24"/>
        </w:rPr>
        <w:t xml:space="preserve">En este sentido, se advierte que la documentación comprobatoria del pago del impuesto predial, en poder del Ayuntamiento, corresponde a información fiscal, que debió ser clasificada como confidencial por </w:t>
      </w:r>
      <w:r w:rsidRPr="0060711B">
        <w:rPr>
          <w:rFonts w:ascii="Tahoma" w:hAnsi="Tahoma" w:cs="Tahoma"/>
          <w:b/>
          <w:sz w:val="24"/>
          <w:szCs w:val="24"/>
        </w:rPr>
        <w:t xml:space="preserve">secreto fiscal, </w:t>
      </w:r>
      <w:r w:rsidRPr="0060711B">
        <w:rPr>
          <w:rFonts w:ascii="Tahoma" w:hAnsi="Tahoma" w:cs="Tahoma"/>
          <w:sz w:val="24"/>
          <w:szCs w:val="24"/>
        </w:rPr>
        <w:t>en términos del artículo 143, fracción II de la Ley de Transparencia y Acceso a la Información Pública del Estado de México y Municipios, de acuerdo a los fundamentos que a continuación se analizan.</w:t>
      </w:r>
    </w:p>
    <w:p w:rsidR="0082408A" w:rsidRPr="0060711B" w:rsidRDefault="0082408A" w:rsidP="0060711B">
      <w:pPr>
        <w:spacing w:after="0" w:line="276" w:lineRule="auto"/>
        <w:jc w:val="both"/>
        <w:rPr>
          <w:rFonts w:ascii="Tahoma" w:hAnsi="Tahoma" w:cs="Tahoma"/>
          <w:sz w:val="24"/>
          <w:szCs w:val="24"/>
        </w:rPr>
      </w:pPr>
    </w:p>
    <w:p w:rsidR="0082408A" w:rsidRPr="0060711B" w:rsidRDefault="0082408A" w:rsidP="0060711B">
      <w:pPr>
        <w:spacing w:after="0" w:line="276" w:lineRule="auto"/>
        <w:jc w:val="both"/>
        <w:rPr>
          <w:rFonts w:ascii="Tahoma" w:hAnsi="Tahoma" w:cs="Tahoma"/>
          <w:sz w:val="24"/>
          <w:szCs w:val="24"/>
        </w:rPr>
      </w:pPr>
      <w:r w:rsidRPr="0060711B">
        <w:rPr>
          <w:rFonts w:ascii="Tahoma" w:hAnsi="Tahoma" w:cs="Tahoma"/>
          <w:sz w:val="24"/>
          <w:szCs w:val="24"/>
        </w:rPr>
        <w:t>El Código Financiero del Estado de México y Municipios, dispone sobre el pago de contribuciones a cargo de los ayuntamientos, lo siguiente:</w:t>
      </w:r>
    </w:p>
    <w:p w:rsidR="0082408A" w:rsidRPr="0060711B" w:rsidRDefault="0082408A" w:rsidP="0060711B">
      <w:pPr>
        <w:spacing w:after="0" w:line="276" w:lineRule="auto"/>
        <w:jc w:val="both"/>
        <w:rPr>
          <w:rFonts w:ascii="Tahoma" w:hAnsi="Tahoma" w:cs="Tahoma"/>
        </w:rPr>
      </w:pPr>
    </w:p>
    <w:p w:rsidR="0082408A" w:rsidRPr="0060711B" w:rsidRDefault="0082408A" w:rsidP="0060711B">
      <w:pPr>
        <w:spacing w:after="0" w:line="276" w:lineRule="auto"/>
        <w:ind w:left="567" w:right="567"/>
        <w:jc w:val="both"/>
        <w:rPr>
          <w:rFonts w:ascii="Tahoma" w:hAnsi="Tahoma" w:cs="Tahoma"/>
          <w:sz w:val="20"/>
          <w:szCs w:val="20"/>
        </w:rPr>
      </w:pPr>
      <w:r w:rsidRPr="0060711B">
        <w:rPr>
          <w:rFonts w:ascii="Tahoma" w:hAnsi="Tahoma" w:cs="Tahoma"/>
          <w:b/>
          <w:sz w:val="20"/>
          <w:szCs w:val="20"/>
        </w:rPr>
        <w:lastRenderedPageBreak/>
        <w:t>Artículo 9.-</w:t>
      </w:r>
      <w:r w:rsidRPr="0060711B">
        <w:rPr>
          <w:rFonts w:ascii="Tahoma" w:hAnsi="Tahoma" w:cs="Tahoma"/>
          <w:sz w:val="20"/>
          <w:szCs w:val="20"/>
        </w:rPr>
        <w:t xml:space="preserve"> Las contribuciones se clasifican en impuestos, derechos, contribuciones o aportaciones de mejoras, y aportaciones y cuotas de seguridad social, las que se definen de la manera siguiente:</w:t>
      </w:r>
    </w:p>
    <w:p w:rsidR="0082408A" w:rsidRPr="0060711B" w:rsidRDefault="0082408A" w:rsidP="0060711B">
      <w:pPr>
        <w:spacing w:after="0" w:line="276" w:lineRule="auto"/>
        <w:ind w:left="567" w:right="567"/>
        <w:jc w:val="both"/>
        <w:rPr>
          <w:rFonts w:ascii="Tahoma" w:hAnsi="Tahoma" w:cs="Tahoma"/>
          <w:sz w:val="20"/>
          <w:szCs w:val="20"/>
        </w:rPr>
      </w:pPr>
      <w:r w:rsidRPr="0060711B">
        <w:rPr>
          <w:rFonts w:ascii="Tahoma" w:hAnsi="Tahoma" w:cs="Tahoma"/>
          <w:sz w:val="20"/>
          <w:szCs w:val="20"/>
        </w:rPr>
        <w:t>I. Impuestos. ...</w:t>
      </w:r>
    </w:p>
    <w:p w:rsidR="0082408A" w:rsidRPr="0060711B" w:rsidRDefault="0082408A" w:rsidP="0060711B">
      <w:pPr>
        <w:spacing w:after="0" w:line="276" w:lineRule="auto"/>
        <w:ind w:left="567" w:right="567"/>
        <w:jc w:val="both"/>
        <w:rPr>
          <w:rFonts w:ascii="Tahoma" w:hAnsi="Tahoma" w:cs="Tahoma"/>
          <w:sz w:val="20"/>
          <w:szCs w:val="20"/>
        </w:rPr>
      </w:pPr>
      <w:r w:rsidRPr="0060711B">
        <w:rPr>
          <w:rFonts w:ascii="Tahoma" w:hAnsi="Tahoma" w:cs="Tahoma"/>
          <w:sz w:val="20"/>
          <w:szCs w:val="20"/>
          <w:u w:val="single"/>
        </w:rPr>
        <w:t>II. Derechos. Son las contraprestaciones establecidas en este Código, que deben pagar las personas físicas y jurídicas colectivas, por el uso o aprovechamiento de los bienes del dominio público de la Entidad, así como por recibir servicios que presten el Estado, sus organismos y Municipios en funciones de derecho público</w:t>
      </w:r>
      <w:r w:rsidRPr="0060711B">
        <w:rPr>
          <w:rFonts w:ascii="Tahoma" w:hAnsi="Tahoma" w:cs="Tahoma"/>
          <w:sz w:val="20"/>
          <w:szCs w:val="20"/>
        </w:rPr>
        <w:t>, excepto cuando se presten por organismos descentralizados u órganos desconcentrados cuando, en este último caso, se trate de contraprestaciones que no se encuentren previstas en este Código.</w:t>
      </w:r>
    </w:p>
    <w:p w:rsidR="0082408A" w:rsidRPr="0060711B" w:rsidRDefault="0082408A" w:rsidP="0060711B">
      <w:pPr>
        <w:spacing w:after="0" w:line="276" w:lineRule="auto"/>
        <w:ind w:left="567" w:right="567"/>
        <w:jc w:val="both"/>
        <w:rPr>
          <w:rFonts w:ascii="Tahoma" w:hAnsi="Tahoma" w:cs="Tahoma"/>
          <w:sz w:val="20"/>
          <w:szCs w:val="20"/>
        </w:rPr>
      </w:pPr>
    </w:p>
    <w:p w:rsidR="0082408A" w:rsidRPr="0060711B" w:rsidRDefault="0082408A" w:rsidP="0060711B">
      <w:pPr>
        <w:spacing w:after="0" w:line="276" w:lineRule="auto"/>
        <w:ind w:left="567" w:right="567"/>
        <w:jc w:val="both"/>
        <w:rPr>
          <w:rFonts w:ascii="Tahoma" w:hAnsi="Tahoma" w:cs="Tahoma"/>
          <w:sz w:val="20"/>
          <w:szCs w:val="20"/>
        </w:rPr>
      </w:pPr>
      <w:r w:rsidRPr="0060711B">
        <w:rPr>
          <w:rFonts w:ascii="Tahoma" w:hAnsi="Tahoma" w:cs="Tahoma"/>
          <w:sz w:val="20"/>
          <w:szCs w:val="20"/>
        </w:rPr>
        <w:t xml:space="preserve">También son derechos las contribuciones que perciban los organismos públicos descentralizados por prestar servicios exclusivos del Estado. </w:t>
      </w:r>
    </w:p>
    <w:p w:rsidR="0082408A" w:rsidRPr="0060711B" w:rsidRDefault="0082408A" w:rsidP="0060711B">
      <w:pPr>
        <w:spacing w:after="0" w:line="276" w:lineRule="auto"/>
        <w:ind w:left="567" w:right="567"/>
        <w:jc w:val="both"/>
        <w:rPr>
          <w:rFonts w:ascii="Tahoma" w:hAnsi="Tahoma" w:cs="Tahoma"/>
          <w:sz w:val="20"/>
          <w:szCs w:val="20"/>
        </w:rPr>
      </w:pPr>
    </w:p>
    <w:p w:rsidR="0082408A" w:rsidRPr="0060711B" w:rsidRDefault="0082408A" w:rsidP="0060711B">
      <w:pPr>
        <w:spacing w:after="0" w:line="276" w:lineRule="auto"/>
        <w:ind w:left="567" w:right="567"/>
        <w:jc w:val="both"/>
        <w:rPr>
          <w:rFonts w:ascii="Tahoma" w:hAnsi="Tahoma" w:cs="Tahoma"/>
          <w:sz w:val="20"/>
          <w:szCs w:val="20"/>
        </w:rPr>
      </w:pPr>
      <w:r w:rsidRPr="0060711B">
        <w:rPr>
          <w:rFonts w:ascii="Tahoma" w:hAnsi="Tahoma" w:cs="Tahoma"/>
          <w:sz w:val="20"/>
          <w:szCs w:val="20"/>
        </w:rPr>
        <w:t>III a IV. …</w:t>
      </w:r>
    </w:p>
    <w:p w:rsidR="0082408A" w:rsidRPr="0060711B" w:rsidRDefault="0082408A" w:rsidP="0060711B">
      <w:pPr>
        <w:spacing w:after="0" w:line="276" w:lineRule="auto"/>
        <w:ind w:left="567" w:right="567"/>
        <w:jc w:val="both"/>
        <w:rPr>
          <w:rFonts w:ascii="Tahoma" w:hAnsi="Tahoma" w:cs="Tahoma"/>
          <w:sz w:val="20"/>
          <w:szCs w:val="20"/>
        </w:rPr>
      </w:pPr>
    </w:p>
    <w:p w:rsidR="0082408A" w:rsidRPr="0060711B" w:rsidRDefault="0082408A" w:rsidP="0060711B">
      <w:pPr>
        <w:spacing w:after="0" w:line="276" w:lineRule="auto"/>
        <w:ind w:left="567" w:right="567"/>
        <w:jc w:val="both"/>
        <w:rPr>
          <w:rFonts w:ascii="Tahoma" w:hAnsi="Tahoma" w:cs="Tahoma"/>
          <w:sz w:val="20"/>
          <w:szCs w:val="20"/>
        </w:rPr>
      </w:pPr>
      <w:r w:rsidRPr="0060711B">
        <w:rPr>
          <w:rFonts w:ascii="Tahoma" w:hAnsi="Tahoma" w:cs="Tahoma"/>
          <w:b/>
          <w:sz w:val="20"/>
          <w:szCs w:val="20"/>
        </w:rPr>
        <w:t>Artículo 16.-</w:t>
      </w:r>
      <w:r w:rsidRPr="0060711B">
        <w:rPr>
          <w:rFonts w:ascii="Tahoma" w:hAnsi="Tahoma" w:cs="Tahoma"/>
          <w:sz w:val="20"/>
          <w:szCs w:val="20"/>
        </w:rPr>
        <w:t xml:space="preserve"> </w:t>
      </w:r>
      <w:r w:rsidRPr="0060711B">
        <w:rPr>
          <w:rFonts w:ascii="Tahoma" w:hAnsi="Tahoma" w:cs="Tahoma"/>
          <w:b/>
          <w:sz w:val="20"/>
          <w:szCs w:val="20"/>
        </w:rPr>
        <w:t>Son autoridades fiscales</w:t>
      </w:r>
      <w:r w:rsidRPr="0060711B">
        <w:rPr>
          <w:rFonts w:ascii="Tahoma" w:hAnsi="Tahoma" w:cs="Tahoma"/>
          <w:sz w:val="20"/>
          <w:szCs w:val="20"/>
        </w:rPr>
        <w:t xml:space="preserve">, el Gobernador, </w:t>
      </w:r>
      <w:r w:rsidRPr="0060711B">
        <w:rPr>
          <w:rFonts w:ascii="Tahoma" w:hAnsi="Tahoma" w:cs="Tahoma"/>
          <w:b/>
          <w:sz w:val="20"/>
          <w:szCs w:val="20"/>
        </w:rPr>
        <w:t>los ayuntamientos</w:t>
      </w:r>
      <w:r w:rsidRPr="0060711B">
        <w:rPr>
          <w:rFonts w:ascii="Tahoma" w:hAnsi="Tahoma" w:cs="Tahoma"/>
          <w:sz w:val="20"/>
          <w:szCs w:val="20"/>
        </w:rPr>
        <w:t>, los presidentes, síndicos y tesoreros municipales, así como los servidores públicos de las dependencias o unidades administrativas, y de los organismos públicos descentralizados, que en términos de las disposiciones legales y reglamentarias tengan atribuciones de esta naturaleza.</w:t>
      </w:r>
    </w:p>
    <w:p w:rsidR="0082408A" w:rsidRPr="0060711B" w:rsidRDefault="0082408A" w:rsidP="0060711B">
      <w:pPr>
        <w:spacing w:after="0" w:line="276" w:lineRule="auto"/>
        <w:ind w:left="567" w:right="567"/>
        <w:jc w:val="both"/>
        <w:rPr>
          <w:rFonts w:ascii="Tahoma" w:hAnsi="Tahoma" w:cs="Tahoma"/>
          <w:sz w:val="20"/>
          <w:szCs w:val="20"/>
        </w:rPr>
      </w:pPr>
    </w:p>
    <w:p w:rsidR="0082408A" w:rsidRPr="0060711B" w:rsidRDefault="0082408A" w:rsidP="0060711B">
      <w:pPr>
        <w:spacing w:after="0" w:line="276" w:lineRule="auto"/>
        <w:ind w:left="567" w:right="567"/>
        <w:jc w:val="both"/>
        <w:rPr>
          <w:rFonts w:ascii="Tahoma" w:hAnsi="Tahoma" w:cs="Tahoma"/>
          <w:b/>
          <w:sz w:val="20"/>
          <w:szCs w:val="20"/>
        </w:rPr>
      </w:pPr>
      <w:r w:rsidRPr="0060711B">
        <w:rPr>
          <w:rFonts w:ascii="Tahoma" w:hAnsi="Tahoma" w:cs="Tahoma"/>
          <w:b/>
          <w:sz w:val="20"/>
          <w:szCs w:val="20"/>
        </w:rPr>
        <w:t>Artículo 55.- Los servidores públicos que intervengan en trámites relativos a la aplicación de este Código, están obligados a guardar en absoluta reserva o confidencialidad, según sea el caso, lo concerniente a las declaraciones y datos que proporcionen los particulares o terceros relacionados con ellos, así como los obtenidos en el ejercicio de las facultades de comprobación.</w:t>
      </w:r>
    </w:p>
    <w:p w:rsidR="0082408A" w:rsidRPr="0060711B" w:rsidRDefault="0082408A" w:rsidP="0060711B">
      <w:pPr>
        <w:spacing w:after="0" w:line="276" w:lineRule="auto"/>
        <w:ind w:left="567" w:right="567"/>
        <w:jc w:val="both"/>
        <w:rPr>
          <w:rFonts w:ascii="Tahoma" w:hAnsi="Tahoma" w:cs="Tahoma"/>
          <w:b/>
          <w:sz w:val="20"/>
          <w:szCs w:val="20"/>
        </w:rPr>
      </w:pPr>
    </w:p>
    <w:p w:rsidR="0082408A" w:rsidRPr="0060711B" w:rsidRDefault="0082408A" w:rsidP="0060711B">
      <w:pPr>
        <w:spacing w:after="0" w:line="276" w:lineRule="auto"/>
        <w:ind w:left="567" w:right="567"/>
        <w:jc w:val="both"/>
        <w:rPr>
          <w:rFonts w:ascii="Tahoma" w:hAnsi="Tahoma" w:cs="Tahoma"/>
          <w:b/>
          <w:sz w:val="20"/>
          <w:szCs w:val="20"/>
        </w:rPr>
      </w:pPr>
      <w:r w:rsidRPr="0060711B">
        <w:rPr>
          <w:rFonts w:ascii="Tahoma" w:hAnsi="Tahoma" w:cs="Tahoma"/>
          <w:b/>
          <w:sz w:val="20"/>
          <w:szCs w:val="20"/>
        </w:rPr>
        <w:t>Artículo 107.- Están obligadas al pago del Impuesto Predial las personas físicas y jurídicas colectivas que sean propietarias o poseedoras, según se trate, de inmuebles en el Estado.</w:t>
      </w:r>
    </w:p>
    <w:p w:rsidR="0082408A" w:rsidRPr="0060711B" w:rsidRDefault="0082408A" w:rsidP="0060711B">
      <w:pPr>
        <w:spacing w:after="0" w:line="276" w:lineRule="auto"/>
        <w:ind w:left="567" w:right="567"/>
        <w:jc w:val="both"/>
        <w:rPr>
          <w:rFonts w:ascii="Tahoma" w:hAnsi="Tahoma" w:cs="Tahoma"/>
          <w:b/>
          <w:sz w:val="20"/>
          <w:szCs w:val="20"/>
        </w:rPr>
      </w:pPr>
      <w:r w:rsidRPr="0060711B">
        <w:rPr>
          <w:rFonts w:ascii="Tahoma" w:hAnsi="Tahoma" w:cs="Tahoma"/>
          <w:b/>
          <w:sz w:val="20"/>
          <w:szCs w:val="20"/>
        </w:rPr>
        <w:t>Los propietarios y poseedores a que se refiere el párrafo anterior, deberán calcular anualmente el impuesto predial a su cargo y manifestarlo, en el mismo formato utilizado para determinar y declarar el valor catastral de sus inmuebles.</w:t>
      </w:r>
    </w:p>
    <w:p w:rsidR="0082408A" w:rsidRPr="0060711B" w:rsidRDefault="0082408A" w:rsidP="0060711B">
      <w:pPr>
        <w:spacing w:after="0" w:line="276" w:lineRule="auto"/>
        <w:jc w:val="both"/>
        <w:rPr>
          <w:rFonts w:ascii="Tahoma" w:hAnsi="Tahoma" w:cs="Tahoma"/>
        </w:rPr>
      </w:pPr>
    </w:p>
    <w:p w:rsidR="0082408A" w:rsidRPr="0060711B" w:rsidRDefault="0082408A" w:rsidP="0060711B">
      <w:pPr>
        <w:spacing w:after="0" w:line="276" w:lineRule="auto"/>
        <w:jc w:val="both"/>
        <w:rPr>
          <w:rFonts w:ascii="Tahoma" w:hAnsi="Tahoma" w:cs="Tahoma"/>
          <w:sz w:val="24"/>
          <w:szCs w:val="24"/>
        </w:rPr>
      </w:pPr>
      <w:r w:rsidRPr="0060711B">
        <w:rPr>
          <w:rFonts w:ascii="Tahoma" w:hAnsi="Tahoma" w:cs="Tahoma"/>
          <w:sz w:val="24"/>
          <w:szCs w:val="24"/>
        </w:rPr>
        <w:t xml:space="preserve">De las disposiciones anteriores, se advierte que, entre las contribuciones que se deben pagar en el Estado de México, se encuentran los Derechos, que corresponden a aquellas que deben pagar las personas físicas o jurídico-colectivas, por el uso o aprovechamiento de bienes del Estado, así como por recibir los servicios que este </w:t>
      </w:r>
      <w:r w:rsidRPr="0060711B">
        <w:rPr>
          <w:rFonts w:ascii="Tahoma" w:hAnsi="Tahoma" w:cs="Tahoma"/>
          <w:sz w:val="24"/>
          <w:szCs w:val="24"/>
        </w:rPr>
        <w:lastRenderedPageBreak/>
        <w:t>presta. Dentro del pago de derechos se encuentra el pago del impuesto predial, que deberán pagar los propietarios y poseedores de inmuebles en el territorio mexiquense.</w:t>
      </w:r>
    </w:p>
    <w:p w:rsidR="0082408A" w:rsidRPr="0060711B" w:rsidRDefault="0082408A" w:rsidP="0060711B">
      <w:pPr>
        <w:spacing w:after="0" w:line="276" w:lineRule="auto"/>
        <w:jc w:val="both"/>
        <w:rPr>
          <w:rFonts w:ascii="Tahoma" w:hAnsi="Tahoma" w:cs="Tahoma"/>
          <w:sz w:val="24"/>
          <w:szCs w:val="24"/>
        </w:rPr>
      </w:pPr>
    </w:p>
    <w:p w:rsidR="0082408A" w:rsidRPr="0060711B" w:rsidRDefault="0082408A" w:rsidP="0060711B">
      <w:pPr>
        <w:spacing w:after="0" w:line="276" w:lineRule="auto"/>
        <w:jc w:val="both"/>
        <w:rPr>
          <w:rFonts w:ascii="Tahoma" w:hAnsi="Tahoma" w:cs="Tahoma"/>
          <w:sz w:val="24"/>
          <w:szCs w:val="24"/>
        </w:rPr>
      </w:pPr>
      <w:r w:rsidRPr="0060711B">
        <w:rPr>
          <w:rFonts w:ascii="Tahoma" w:hAnsi="Tahoma" w:cs="Tahoma"/>
          <w:sz w:val="24"/>
          <w:szCs w:val="24"/>
        </w:rPr>
        <w:t>Asimismo, los ayuntamientos, se erigen como autoridad fiscal, respecto del cobro del impuesto predial, por lo que, en términos del artículo 55 del Código en comento, están obligados a guardar absoluta reserva o confidencialidad, respecto de las declaraciones y datos que proporcionen los particulares o terceros relacionados con ellos, así como los obtenidos en el ejercicio de las facultades de comprobación.</w:t>
      </w:r>
    </w:p>
    <w:p w:rsidR="0082408A" w:rsidRPr="0060711B" w:rsidRDefault="0082408A" w:rsidP="0060711B">
      <w:pPr>
        <w:spacing w:after="0" w:line="276" w:lineRule="auto"/>
        <w:jc w:val="both"/>
        <w:rPr>
          <w:rFonts w:ascii="Tahoma" w:hAnsi="Tahoma" w:cs="Tahoma"/>
          <w:sz w:val="24"/>
          <w:szCs w:val="24"/>
        </w:rPr>
      </w:pPr>
    </w:p>
    <w:p w:rsidR="0082408A" w:rsidRPr="0060711B" w:rsidRDefault="0082408A" w:rsidP="0060711B">
      <w:pPr>
        <w:spacing w:after="0" w:line="276" w:lineRule="auto"/>
        <w:jc w:val="both"/>
        <w:rPr>
          <w:rFonts w:ascii="Tahoma" w:hAnsi="Tahoma" w:cs="Tahoma"/>
          <w:sz w:val="24"/>
          <w:szCs w:val="24"/>
        </w:rPr>
      </w:pPr>
      <w:r w:rsidRPr="0060711B">
        <w:rPr>
          <w:rFonts w:ascii="Tahoma" w:hAnsi="Tahoma" w:cs="Tahoma"/>
          <w:sz w:val="24"/>
          <w:szCs w:val="24"/>
        </w:rPr>
        <w:t>Refuerza lo anterior, lo dispuesto en la Ley Orgánica Municipal del Estado de México.</w:t>
      </w:r>
    </w:p>
    <w:p w:rsidR="0082408A" w:rsidRPr="0060711B" w:rsidRDefault="0082408A" w:rsidP="0060711B">
      <w:pPr>
        <w:spacing w:after="0" w:line="276" w:lineRule="auto"/>
        <w:jc w:val="both"/>
        <w:rPr>
          <w:rFonts w:ascii="Tahoma" w:hAnsi="Tahoma" w:cs="Tahoma"/>
        </w:rPr>
      </w:pPr>
    </w:p>
    <w:p w:rsidR="0082408A" w:rsidRPr="0060711B" w:rsidRDefault="0082408A" w:rsidP="0060711B">
      <w:pPr>
        <w:spacing w:after="0" w:line="276" w:lineRule="auto"/>
        <w:ind w:left="567" w:right="567"/>
        <w:jc w:val="both"/>
        <w:rPr>
          <w:rFonts w:ascii="Tahoma" w:hAnsi="Tahoma" w:cs="Tahoma"/>
          <w:sz w:val="20"/>
          <w:szCs w:val="20"/>
        </w:rPr>
      </w:pPr>
      <w:r w:rsidRPr="0060711B">
        <w:rPr>
          <w:rFonts w:ascii="Tahoma" w:hAnsi="Tahoma" w:cs="Tahoma"/>
          <w:b/>
          <w:sz w:val="20"/>
          <w:szCs w:val="20"/>
        </w:rPr>
        <w:t>Artículo 93.-</w:t>
      </w:r>
      <w:r w:rsidRPr="0060711B">
        <w:rPr>
          <w:rFonts w:ascii="Tahoma" w:hAnsi="Tahoma" w:cs="Tahoma"/>
          <w:sz w:val="20"/>
          <w:szCs w:val="20"/>
        </w:rPr>
        <w:t xml:space="preserve"> La tesorería municipal es el órgano encargado de la recaudación de los ingresos municipales y responsable de realizar las erogaciones que haga el ayuntamiento.</w:t>
      </w:r>
    </w:p>
    <w:p w:rsidR="0082408A" w:rsidRPr="0060711B" w:rsidRDefault="0082408A" w:rsidP="0060711B">
      <w:pPr>
        <w:spacing w:after="0" w:line="276" w:lineRule="auto"/>
        <w:ind w:left="567" w:right="567"/>
        <w:jc w:val="both"/>
        <w:rPr>
          <w:rFonts w:ascii="Tahoma" w:hAnsi="Tahoma" w:cs="Tahoma"/>
          <w:sz w:val="20"/>
          <w:szCs w:val="20"/>
        </w:rPr>
      </w:pPr>
    </w:p>
    <w:p w:rsidR="0082408A" w:rsidRPr="0060711B" w:rsidRDefault="0082408A" w:rsidP="0060711B">
      <w:pPr>
        <w:spacing w:after="0" w:line="276" w:lineRule="auto"/>
        <w:ind w:left="567" w:right="567"/>
        <w:jc w:val="both"/>
        <w:rPr>
          <w:rFonts w:ascii="Tahoma" w:hAnsi="Tahoma" w:cs="Tahoma"/>
          <w:sz w:val="20"/>
          <w:szCs w:val="20"/>
        </w:rPr>
      </w:pPr>
      <w:r w:rsidRPr="0060711B">
        <w:rPr>
          <w:rFonts w:ascii="Tahoma" w:hAnsi="Tahoma" w:cs="Tahoma"/>
          <w:b/>
          <w:sz w:val="20"/>
          <w:szCs w:val="20"/>
        </w:rPr>
        <w:t>Artículo 95.-</w:t>
      </w:r>
      <w:r w:rsidRPr="0060711B">
        <w:rPr>
          <w:rFonts w:ascii="Tahoma" w:hAnsi="Tahoma" w:cs="Tahoma"/>
          <w:sz w:val="20"/>
          <w:szCs w:val="20"/>
        </w:rPr>
        <w:t xml:space="preserve"> Son atribuciones del tesorero municipal:</w:t>
      </w:r>
    </w:p>
    <w:p w:rsidR="0082408A" w:rsidRPr="0060711B" w:rsidRDefault="0082408A" w:rsidP="0060711B">
      <w:pPr>
        <w:spacing w:after="0" w:line="276" w:lineRule="auto"/>
        <w:ind w:left="567" w:right="567"/>
        <w:jc w:val="both"/>
        <w:rPr>
          <w:rFonts w:ascii="Tahoma" w:hAnsi="Tahoma" w:cs="Tahoma"/>
          <w:sz w:val="20"/>
          <w:szCs w:val="20"/>
        </w:rPr>
      </w:pPr>
      <w:proofErr w:type="gramStart"/>
      <w:r w:rsidRPr="0060711B">
        <w:rPr>
          <w:rFonts w:ascii="Tahoma" w:hAnsi="Tahoma" w:cs="Tahoma"/>
          <w:sz w:val="20"/>
          <w:szCs w:val="20"/>
        </w:rPr>
        <w:t>I.</w:t>
      </w:r>
      <w:proofErr w:type="gramEnd"/>
      <w:r w:rsidRPr="0060711B">
        <w:rPr>
          <w:rFonts w:ascii="Tahoma" w:hAnsi="Tahoma" w:cs="Tahoma"/>
          <w:sz w:val="20"/>
          <w:szCs w:val="20"/>
        </w:rPr>
        <w:t xml:space="preserve"> …</w:t>
      </w:r>
    </w:p>
    <w:p w:rsidR="0082408A" w:rsidRPr="0060711B" w:rsidRDefault="0082408A" w:rsidP="0060711B">
      <w:pPr>
        <w:spacing w:after="0" w:line="276" w:lineRule="auto"/>
        <w:ind w:left="567" w:right="567"/>
        <w:jc w:val="both"/>
        <w:rPr>
          <w:rFonts w:ascii="Tahoma" w:hAnsi="Tahoma" w:cs="Tahoma"/>
          <w:sz w:val="20"/>
          <w:szCs w:val="20"/>
        </w:rPr>
      </w:pPr>
      <w:r w:rsidRPr="0060711B">
        <w:rPr>
          <w:rFonts w:ascii="Tahoma" w:hAnsi="Tahoma" w:cs="Tahoma"/>
          <w:sz w:val="20"/>
          <w:szCs w:val="20"/>
        </w:rPr>
        <w:t xml:space="preserve">II. Determinar, liquidar, </w:t>
      </w:r>
      <w:r w:rsidRPr="0060711B">
        <w:rPr>
          <w:rFonts w:ascii="Tahoma" w:hAnsi="Tahoma" w:cs="Tahoma"/>
          <w:b/>
          <w:sz w:val="20"/>
          <w:szCs w:val="20"/>
        </w:rPr>
        <w:t>recaudar, fiscalizar y administrar las contribuciones en los términos de los ordenamientos jurídicos aplicables</w:t>
      </w:r>
      <w:r w:rsidRPr="0060711B">
        <w:rPr>
          <w:rFonts w:ascii="Tahoma" w:hAnsi="Tahoma" w:cs="Tahoma"/>
          <w:sz w:val="20"/>
          <w:szCs w:val="20"/>
        </w:rPr>
        <w:t xml:space="preserve"> y, en su caso, aplicar el procedimiento administrativo de ejecución en términos de las disposiciones aplicables;</w:t>
      </w:r>
    </w:p>
    <w:p w:rsidR="0082408A" w:rsidRPr="0060711B" w:rsidRDefault="0082408A" w:rsidP="0060711B">
      <w:pPr>
        <w:spacing w:after="0" w:line="276" w:lineRule="auto"/>
        <w:ind w:left="567" w:right="567"/>
        <w:jc w:val="both"/>
        <w:rPr>
          <w:rFonts w:ascii="Tahoma" w:hAnsi="Tahoma" w:cs="Tahoma"/>
          <w:sz w:val="20"/>
          <w:szCs w:val="20"/>
        </w:rPr>
      </w:pPr>
      <w:r w:rsidRPr="0060711B">
        <w:rPr>
          <w:rFonts w:ascii="Tahoma" w:hAnsi="Tahoma" w:cs="Tahoma"/>
          <w:sz w:val="20"/>
          <w:szCs w:val="20"/>
        </w:rPr>
        <w:t>III. a XII. …</w:t>
      </w:r>
    </w:p>
    <w:p w:rsidR="0082408A" w:rsidRPr="0060711B" w:rsidRDefault="0082408A" w:rsidP="0060711B">
      <w:pPr>
        <w:spacing w:after="0" w:line="276" w:lineRule="auto"/>
        <w:ind w:left="567" w:right="567"/>
        <w:jc w:val="both"/>
        <w:rPr>
          <w:rFonts w:ascii="Tahoma" w:hAnsi="Tahoma" w:cs="Tahoma"/>
          <w:sz w:val="20"/>
          <w:szCs w:val="20"/>
        </w:rPr>
      </w:pPr>
      <w:r w:rsidRPr="0060711B">
        <w:rPr>
          <w:rFonts w:ascii="Tahoma" w:hAnsi="Tahoma" w:cs="Tahoma"/>
          <w:sz w:val="20"/>
          <w:szCs w:val="20"/>
        </w:rPr>
        <w:t>XIII. Elaborar y mantener actualizado el Padrón de Contribuyentes;</w:t>
      </w:r>
    </w:p>
    <w:p w:rsidR="0082408A" w:rsidRPr="0060711B" w:rsidRDefault="0082408A" w:rsidP="0060711B">
      <w:pPr>
        <w:spacing w:after="0" w:line="276" w:lineRule="auto"/>
        <w:ind w:left="567" w:right="567"/>
        <w:jc w:val="both"/>
        <w:rPr>
          <w:rFonts w:ascii="Tahoma" w:hAnsi="Tahoma" w:cs="Tahoma"/>
          <w:sz w:val="20"/>
          <w:szCs w:val="20"/>
        </w:rPr>
      </w:pPr>
      <w:r w:rsidRPr="0060711B">
        <w:rPr>
          <w:rFonts w:ascii="Tahoma" w:hAnsi="Tahoma" w:cs="Tahoma"/>
          <w:sz w:val="20"/>
          <w:szCs w:val="20"/>
        </w:rPr>
        <w:t>XIV. a XVIII. …</w:t>
      </w:r>
    </w:p>
    <w:p w:rsidR="0082408A" w:rsidRPr="0060711B" w:rsidRDefault="0082408A" w:rsidP="0060711B">
      <w:pPr>
        <w:spacing w:after="0" w:line="276" w:lineRule="auto"/>
        <w:ind w:left="567" w:right="567"/>
        <w:jc w:val="both"/>
        <w:rPr>
          <w:rFonts w:ascii="Tahoma" w:hAnsi="Tahoma" w:cs="Tahoma"/>
          <w:sz w:val="20"/>
          <w:szCs w:val="20"/>
        </w:rPr>
      </w:pPr>
      <w:r w:rsidRPr="0060711B">
        <w:rPr>
          <w:rFonts w:ascii="Tahoma" w:hAnsi="Tahoma" w:cs="Tahoma"/>
          <w:sz w:val="20"/>
          <w:szCs w:val="20"/>
        </w:rPr>
        <w:t>XIX. Recaudar y administrar los ingresos que se deriven de la suscripción de convenios, acuerdos o la emisión de declaratorias de coordinación; los relativos a las transferencias otorgadas a favor del Municipio en el marco del Sistema Nacional o Estatal de Coordinación Fiscal, o los que reciba por cualquier otro concepto; así como el importe de las sanciones por infracciones impuestas por las autoridades competentes, por la inobservancia de las diversas disposiciones y ordenamientos legales, constituyendo los créditos fiscales correspondientes;</w:t>
      </w:r>
    </w:p>
    <w:p w:rsidR="0082408A" w:rsidRPr="0060711B" w:rsidRDefault="0082408A" w:rsidP="0060711B">
      <w:pPr>
        <w:spacing w:after="0" w:line="276" w:lineRule="auto"/>
        <w:ind w:left="567" w:right="567"/>
        <w:jc w:val="both"/>
        <w:rPr>
          <w:rFonts w:ascii="Tahoma" w:hAnsi="Tahoma" w:cs="Tahoma"/>
          <w:sz w:val="20"/>
          <w:szCs w:val="20"/>
        </w:rPr>
      </w:pPr>
      <w:r w:rsidRPr="0060711B">
        <w:rPr>
          <w:rFonts w:ascii="Tahoma" w:hAnsi="Tahoma" w:cs="Tahoma"/>
          <w:sz w:val="20"/>
          <w:szCs w:val="20"/>
        </w:rPr>
        <w:t>XX. a XXII. …</w:t>
      </w:r>
    </w:p>
    <w:p w:rsidR="0082408A" w:rsidRPr="0060711B" w:rsidRDefault="0082408A" w:rsidP="0060711B">
      <w:pPr>
        <w:spacing w:after="0" w:line="276" w:lineRule="auto"/>
        <w:jc w:val="both"/>
        <w:rPr>
          <w:rFonts w:ascii="Tahoma" w:hAnsi="Tahoma" w:cs="Tahoma"/>
        </w:rPr>
      </w:pPr>
    </w:p>
    <w:p w:rsidR="0082408A" w:rsidRPr="0060711B" w:rsidRDefault="0082408A" w:rsidP="0060711B">
      <w:pPr>
        <w:spacing w:after="0" w:line="276" w:lineRule="auto"/>
        <w:jc w:val="both"/>
        <w:rPr>
          <w:rFonts w:ascii="Tahoma" w:hAnsi="Tahoma" w:cs="Tahoma"/>
          <w:sz w:val="24"/>
          <w:szCs w:val="24"/>
        </w:rPr>
      </w:pPr>
      <w:r w:rsidRPr="0060711B">
        <w:rPr>
          <w:rFonts w:ascii="Tahoma" w:hAnsi="Tahoma" w:cs="Tahoma"/>
          <w:sz w:val="24"/>
          <w:szCs w:val="24"/>
        </w:rPr>
        <w:t>De lo anterior, se confirma que la Tesorería Municipal, es el órgano encargado de recaudar, fiscalizar y administrar la recaudación de contribuciones previstas en ley, así como de elaborar y actualizar el Padrón de Contribuyentes, por lo que se trata de una autoridad de carácter fiscal y ejerce dichas atribuciones cuando realiza el cobro del impuesto predial.</w:t>
      </w:r>
    </w:p>
    <w:p w:rsidR="0082408A" w:rsidRPr="0060711B" w:rsidRDefault="0082408A" w:rsidP="0060711B">
      <w:pPr>
        <w:spacing w:after="0" w:line="276" w:lineRule="auto"/>
        <w:jc w:val="both"/>
        <w:rPr>
          <w:rFonts w:ascii="Tahoma" w:hAnsi="Tahoma" w:cs="Tahoma"/>
          <w:sz w:val="24"/>
          <w:szCs w:val="24"/>
        </w:rPr>
      </w:pPr>
    </w:p>
    <w:p w:rsidR="0082408A" w:rsidRPr="0060711B" w:rsidRDefault="0082408A" w:rsidP="0060711B">
      <w:pPr>
        <w:spacing w:after="0" w:line="276" w:lineRule="auto"/>
        <w:jc w:val="both"/>
        <w:rPr>
          <w:rFonts w:ascii="Tahoma" w:hAnsi="Tahoma" w:cs="Tahoma"/>
          <w:b/>
          <w:sz w:val="24"/>
          <w:szCs w:val="24"/>
        </w:rPr>
      </w:pPr>
      <w:r w:rsidRPr="0060711B">
        <w:rPr>
          <w:rFonts w:ascii="Tahoma" w:hAnsi="Tahoma" w:cs="Tahoma"/>
          <w:sz w:val="24"/>
          <w:szCs w:val="24"/>
        </w:rPr>
        <w:t>Así, el artículo 143, fracción II</w:t>
      </w:r>
      <w:r w:rsidR="0060711B" w:rsidRPr="0060711B">
        <w:rPr>
          <w:rFonts w:ascii="Tahoma" w:hAnsi="Tahoma" w:cs="Tahoma"/>
          <w:sz w:val="24"/>
          <w:szCs w:val="24"/>
        </w:rPr>
        <w:t>,</w:t>
      </w:r>
      <w:r w:rsidRPr="0060711B">
        <w:rPr>
          <w:rFonts w:ascii="Tahoma" w:hAnsi="Tahoma" w:cs="Tahoma"/>
          <w:sz w:val="24"/>
          <w:szCs w:val="24"/>
        </w:rPr>
        <w:t xml:space="preserve"> de la Ley de Transparencia y Acceso a la Información Pública del Estado de México y Municipios, dispone que se considera información confidencial, los secretos bancario, fiduciario, industrial, comercial, </w:t>
      </w:r>
      <w:r w:rsidRPr="0060711B">
        <w:rPr>
          <w:rFonts w:ascii="Tahoma" w:hAnsi="Tahoma" w:cs="Tahoma"/>
          <w:b/>
          <w:sz w:val="24"/>
          <w:szCs w:val="24"/>
        </w:rPr>
        <w:t>fiscal</w:t>
      </w:r>
      <w:r w:rsidRPr="0060711B">
        <w:rPr>
          <w:rFonts w:ascii="Tahoma" w:hAnsi="Tahoma" w:cs="Tahoma"/>
          <w:sz w:val="24"/>
          <w:szCs w:val="24"/>
        </w:rPr>
        <w:t xml:space="preserve">, bursátil y postal, </w:t>
      </w:r>
      <w:r w:rsidRPr="0060711B">
        <w:rPr>
          <w:rFonts w:ascii="Tahoma" w:hAnsi="Tahoma" w:cs="Tahoma"/>
          <w:b/>
          <w:sz w:val="24"/>
          <w:szCs w:val="24"/>
        </w:rPr>
        <w:t>cuya titularidad corresponda a particulares</w:t>
      </w:r>
      <w:r w:rsidRPr="0060711B">
        <w:rPr>
          <w:rFonts w:ascii="Tahoma" w:hAnsi="Tahoma" w:cs="Tahoma"/>
          <w:sz w:val="24"/>
          <w:szCs w:val="24"/>
        </w:rPr>
        <w:t xml:space="preserve">, sujetos de derecho internacional o a sujetos obligados </w:t>
      </w:r>
      <w:r w:rsidRPr="0060711B">
        <w:rPr>
          <w:rFonts w:ascii="Tahoma" w:hAnsi="Tahoma" w:cs="Tahoma"/>
          <w:b/>
          <w:sz w:val="24"/>
          <w:szCs w:val="24"/>
        </w:rPr>
        <w:t>cuando no involucren el ejercicio de recursos públicos.</w:t>
      </w:r>
    </w:p>
    <w:p w:rsidR="0082408A" w:rsidRPr="0060711B" w:rsidRDefault="0082408A" w:rsidP="0060711B">
      <w:pPr>
        <w:spacing w:after="0" w:line="276" w:lineRule="auto"/>
        <w:jc w:val="both"/>
        <w:rPr>
          <w:rFonts w:ascii="Tahoma" w:hAnsi="Tahoma" w:cs="Tahoma"/>
          <w:sz w:val="24"/>
          <w:szCs w:val="24"/>
        </w:rPr>
      </w:pPr>
    </w:p>
    <w:p w:rsidR="0082408A" w:rsidRPr="0060711B" w:rsidRDefault="0082408A" w:rsidP="0060711B">
      <w:pPr>
        <w:spacing w:after="0" w:line="276" w:lineRule="auto"/>
        <w:jc w:val="both"/>
        <w:rPr>
          <w:rFonts w:ascii="Tahoma" w:hAnsi="Tahoma" w:cs="Tahoma"/>
          <w:sz w:val="24"/>
          <w:szCs w:val="24"/>
        </w:rPr>
      </w:pPr>
      <w:r w:rsidRPr="0060711B">
        <w:rPr>
          <w:rFonts w:ascii="Tahoma" w:hAnsi="Tahoma" w:cs="Tahoma"/>
          <w:sz w:val="24"/>
          <w:szCs w:val="24"/>
        </w:rPr>
        <w:t>En este orden de ideas, para clasificar la información por secreto fiscal, se deberá acreditar que se trata de información tributaria, declaraciones y/o datos suministrados por los contribuyentes o aquellos obtenidos por la autoridad fiscal en el ejercicio de sus facultades de comprobación. Así, las autoridades municipales, en su carácter de autoridad fiscal, tienen la facultad de clasificar la información obtenida en virtud de los diversos trámites relativos al cobro de contribuciones, como es el caso del impuesto predial, así como de aquella relacionada con el ejercicio de sus atribuciones de comprobación.</w:t>
      </w:r>
    </w:p>
    <w:p w:rsidR="0082408A" w:rsidRPr="0060711B" w:rsidRDefault="0082408A" w:rsidP="0060711B">
      <w:pPr>
        <w:spacing w:after="0" w:line="276" w:lineRule="auto"/>
        <w:jc w:val="both"/>
        <w:rPr>
          <w:rFonts w:ascii="Tahoma" w:hAnsi="Tahoma" w:cs="Tahoma"/>
          <w:sz w:val="24"/>
          <w:szCs w:val="24"/>
        </w:rPr>
      </w:pPr>
    </w:p>
    <w:p w:rsidR="0082408A" w:rsidRPr="0060711B" w:rsidRDefault="0082408A" w:rsidP="0060711B">
      <w:pPr>
        <w:spacing w:after="0" w:line="276" w:lineRule="auto"/>
        <w:jc w:val="both"/>
        <w:rPr>
          <w:rFonts w:ascii="Tahoma" w:hAnsi="Tahoma" w:cs="Tahoma"/>
          <w:sz w:val="24"/>
          <w:szCs w:val="24"/>
        </w:rPr>
      </w:pPr>
      <w:r w:rsidRPr="0060711B">
        <w:rPr>
          <w:rFonts w:ascii="Tahoma" w:hAnsi="Tahoma" w:cs="Tahoma"/>
          <w:sz w:val="24"/>
          <w:szCs w:val="24"/>
        </w:rPr>
        <w:t>Dada la naturaleza de la información relacionada con el pago de contribuciones, esta no está sujeta a temporalidad alguna de clasificación y únicamente pueden tener acceso a ella los titulares de la misma, sus representantes legales y los servidores públicos facultados para ello, por lo que no procede su entrega vía una solicitud de acceso a información pública, ya que al no existir ejercicio de recursos públicos, este tipo de información no reviste un interés público, por el contrario entra dentro del aspecto privado de las personas físicas o jurídico-colectivas, pues la clasificación de la misma no se da en función del tipo de propietario sino de la naturaleza fiscal de la información.</w:t>
      </w:r>
    </w:p>
    <w:p w:rsidR="0082408A" w:rsidRPr="0060711B" w:rsidRDefault="0082408A" w:rsidP="0060711B">
      <w:pPr>
        <w:spacing w:after="0" w:line="276" w:lineRule="auto"/>
        <w:jc w:val="both"/>
        <w:rPr>
          <w:rFonts w:ascii="Tahoma" w:hAnsi="Tahoma" w:cs="Tahoma"/>
          <w:sz w:val="24"/>
          <w:szCs w:val="24"/>
        </w:rPr>
      </w:pPr>
    </w:p>
    <w:p w:rsidR="0082408A" w:rsidRPr="0060711B" w:rsidRDefault="0082408A" w:rsidP="0060711B">
      <w:pPr>
        <w:spacing w:after="0" w:line="276" w:lineRule="auto"/>
        <w:jc w:val="both"/>
        <w:rPr>
          <w:rFonts w:ascii="Tahoma" w:hAnsi="Tahoma" w:cs="Tahoma"/>
          <w:sz w:val="24"/>
          <w:szCs w:val="24"/>
        </w:rPr>
      </w:pPr>
      <w:r w:rsidRPr="0060711B">
        <w:rPr>
          <w:rFonts w:ascii="Tahoma" w:hAnsi="Tahoma" w:cs="Tahoma"/>
          <w:sz w:val="24"/>
          <w:szCs w:val="24"/>
        </w:rPr>
        <w:t xml:space="preserve">De igual forma, los sujetos obligados que se constituyan como contribuyentes o como autoridades en materia tributaria no podrán clasificar la información relativa al cumplimiento de sus obligaciones fiscales en ejercicio de recursos públicos como secreto fiscal, tal y como lo prevé la Ley de la materia, al excluir de manera clara la posibilidad de clasificar la información fiscal cuanto está relacionada con el ejercicio de recursos públicos. </w:t>
      </w:r>
    </w:p>
    <w:p w:rsidR="0082408A" w:rsidRPr="0060711B" w:rsidRDefault="0082408A" w:rsidP="0060711B">
      <w:pPr>
        <w:spacing w:after="0" w:line="276" w:lineRule="auto"/>
        <w:jc w:val="both"/>
        <w:rPr>
          <w:rFonts w:ascii="Tahoma" w:hAnsi="Tahoma" w:cs="Tahoma"/>
          <w:sz w:val="24"/>
          <w:szCs w:val="24"/>
        </w:rPr>
      </w:pPr>
    </w:p>
    <w:p w:rsidR="0082408A" w:rsidRPr="0060711B" w:rsidRDefault="0082408A" w:rsidP="0060711B">
      <w:pPr>
        <w:tabs>
          <w:tab w:val="left" w:pos="1134"/>
          <w:tab w:val="left" w:pos="4962"/>
        </w:tabs>
        <w:spacing w:after="0" w:line="276" w:lineRule="auto"/>
        <w:jc w:val="both"/>
        <w:rPr>
          <w:rFonts w:ascii="Tahoma" w:hAnsi="Tahoma" w:cs="Tahoma"/>
          <w:bCs/>
          <w:iCs/>
          <w:color w:val="000000" w:themeColor="text1"/>
          <w:sz w:val="24"/>
          <w:szCs w:val="24"/>
        </w:rPr>
      </w:pPr>
      <w:r w:rsidRPr="0060711B">
        <w:rPr>
          <w:rFonts w:ascii="Tahoma" w:eastAsia="Calibri" w:hAnsi="Tahoma" w:cs="Tahoma"/>
          <w:bCs/>
          <w:color w:val="000000" w:themeColor="text1"/>
          <w:sz w:val="24"/>
          <w:szCs w:val="24"/>
        </w:rPr>
        <w:lastRenderedPageBreak/>
        <w:t>Sobre el particular, resulta aplicable la tesis aislada con número 1a.</w:t>
      </w:r>
      <w:r w:rsidRPr="0060711B">
        <w:rPr>
          <w:rFonts w:ascii="Tahoma" w:hAnsi="Tahoma" w:cs="Tahoma"/>
          <w:bCs/>
          <w:iCs/>
          <w:color w:val="000000" w:themeColor="text1"/>
          <w:sz w:val="24"/>
          <w:szCs w:val="24"/>
        </w:rPr>
        <w:t xml:space="preserve"> CVII/2013 (10a.), emitida por la Primera Sala de la Suprema Corte de Justicia de la Nación, publicada en el Semanario Judicial de la Federación y su Gaceta, Libro XIX, Tomo 1, página 970, de abril de 2013, Décima Época, materia administrativa, de rubro y texto siguiente:</w:t>
      </w:r>
    </w:p>
    <w:p w:rsidR="0082408A" w:rsidRPr="0060711B" w:rsidRDefault="0082408A" w:rsidP="0060711B">
      <w:pPr>
        <w:tabs>
          <w:tab w:val="left" w:pos="1134"/>
          <w:tab w:val="left" w:pos="4962"/>
        </w:tabs>
        <w:spacing w:after="0" w:line="276" w:lineRule="auto"/>
        <w:jc w:val="both"/>
        <w:rPr>
          <w:rFonts w:ascii="Tahoma" w:hAnsi="Tahoma" w:cs="Tahoma"/>
          <w:bCs/>
          <w:iCs/>
          <w:color w:val="000000" w:themeColor="text1"/>
        </w:rPr>
      </w:pPr>
    </w:p>
    <w:p w:rsidR="0082408A" w:rsidRPr="0060711B" w:rsidRDefault="0082408A" w:rsidP="0060711B">
      <w:pPr>
        <w:spacing w:after="0" w:line="276" w:lineRule="auto"/>
        <w:ind w:left="567" w:right="616"/>
        <w:jc w:val="both"/>
        <w:rPr>
          <w:rFonts w:ascii="Tahoma" w:hAnsi="Tahoma" w:cs="Tahoma"/>
          <w:bCs/>
          <w:iCs/>
          <w:color w:val="000000" w:themeColor="text1"/>
          <w:sz w:val="20"/>
          <w:szCs w:val="20"/>
        </w:rPr>
      </w:pPr>
      <w:r w:rsidRPr="0060711B">
        <w:rPr>
          <w:rFonts w:ascii="Tahoma" w:hAnsi="Tahoma" w:cs="Tahoma"/>
          <w:b/>
          <w:bCs/>
          <w:iCs/>
          <w:color w:val="000000" w:themeColor="text1"/>
          <w:sz w:val="20"/>
          <w:szCs w:val="20"/>
        </w:rPr>
        <w:t xml:space="preserve">SECRETO FISCAL. CONCEPTO DE. </w:t>
      </w:r>
      <w:r w:rsidRPr="0060711B">
        <w:rPr>
          <w:rFonts w:ascii="Tahoma" w:hAnsi="Tahoma" w:cs="Tahoma"/>
          <w:bCs/>
          <w:iCs/>
          <w:color w:val="000000" w:themeColor="text1"/>
          <w:sz w:val="20"/>
          <w:szCs w:val="20"/>
        </w:rPr>
        <w:t>El artículo 69 del Código Fiscal de la Federación establece la obligación de reserva absoluta en lo concerniente a la información tributaria del contribuyente (declaraciones y datos suministrados por los contribuyentes o por terceros con ellos relacionados, así como los obtenidos en el ejercicio de las facultades de comprobación), a cargo del personal de la autoridad fiscal que intervenga en los trámites relativos a la aplicación de disposiciones fiscales. Así, en principio, dicha medida legislativa establece una concreta carga -de no hacer- impuesta al personal -servidores públicos- de la autoridad fiscal, consistente en que al aplicar las disposiciones fiscales no deben revelar de ninguna forma información tributaria de los contribuyentes. En esto precisamente, desde la perspectiva del derecho positivo, consiste el `secreto fiscal´. Por ende, la intervención legislativa por la cual se estableció el secreto fiscal no se encuentra diseñada normativamente como un principio o derecho fundamental, sino más bien como una regla-fin en los términos señalados. Pero la reserva del secreto fiscal no es absoluta, tal y como lo dispone el mismo artículo 69, con independencia de que en principio así se encuentre establecido textualmente, sino relativa al establecer dicho precepto distintas excepciones al respecto.”</w:t>
      </w:r>
    </w:p>
    <w:p w:rsidR="0082408A" w:rsidRPr="0060711B" w:rsidRDefault="0082408A" w:rsidP="0060711B">
      <w:pPr>
        <w:tabs>
          <w:tab w:val="left" w:pos="1134"/>
          <w:tab w:val="left" w:pos="4962"/>
        </w:tabs>
        <w:spacing w:after="0" w:line="276" w:lineRule="auto"/>
        <w:jc w:val="both"/>
        <w:rPr>
          <w:rFonts w:ascii="Tahoma" w:hAnsi="Tahoma" w:cs="Tahoma"/>
          <w:bCs/>
          <w:iCs/>
          <w:color w:val="000000" w:themeColor="text1"/>
          <w:sz w:val="20"/>
          <w:szCs w:val="20"/>
        </w:rPr>
      </w:pPr>
    </w:p>
    <w:p w:rsidR="0082408A" w:rsidRPr="0060711B" w:rsidRDefault="0082408A" w:rsidP="0060711B">
      <w:pPr>
        <w:tabs>
          <w:tab w:val="left" w:pos="1134"/>
          <w:tab w:val="left" w:pos="4962"/>
        </w:tabs>
        <w:spacing w:after="0" w:line="276" w:lineRule="auto"/>
        <w:jc w:val="both"/>
        <w:rPr>
          <w:rFonts w:ascii="Tahoma" w:hAnsi="Tahoma" w:cs="Tahoma"/>
          <w:bCs/>
          <w:iCs/>
          <w:color w:val="000000" w:themeColor="text1"/>
          <w:sz w:val="24"/>
          <w:szCs w:val="24"/>
        </w:rPr>
      </w:pPr>
      <w:r w:rsidRPr="0060711B">
        <w:rPr>
          <w:rFonts w:ascii="Tahoma" w:hAnsi="Tahoma" w:cs="Tahoma"/>
          <w:bCs/>
          <w:iCs/>
          <w:color w:val="000000" w:themeColor="text1"/>
          <w:sz w:val="24"/>
          <w:szCs w:val="24"/>
        </w:rPr>
        <w:t xml:space="preserve">Como se aprecia, el secreto fiscal consiste en la obligación de protección absoluta en lo concerniente a la información tributaria del contribuyente (declaraciones y datos suministrados por los contribuyentes o por terceros con ellos relacionados, así como los obtenidos en el ejercicio de las facultades de comprobación), </w:t>
      </w:r>
      <w:r w:rsidRPr="0060711B">
        <w:rPr>
          <w:rFonts w:ascii="Tahoma" w:hAnsi="Tahoma" w:cs="Tahoma"/>
          <w:b/>
          <w:bCs/>
          <w:iCs/>
          <w:color w:val="000000" w:themeColor="text1"/>
          <w:sz w:val="24"/>
          <w:szCs w:val="24"/>
        </w:rPr>
        <w:t>a cargo del personal de la autoridad fiscal que intervenga en los trámites relativos a la aplicación de disposiciones fiscales.</w:t>
      </w:r>
      <w:r w:rsidRPr="0060711B">
        <w:rPr>
          <w:rFonts w:ascii="Tahoma" w:hAnsi="Tahoma" w:cs="Tahoma"/>
          <w:bCs/>
          <w:iCs/>
          <w:color w:val="000000" w:themeColor="text1"/>
          <w:sz w:val="24"/>
          <w:szCs w:val="24"/>
        </w:rPr>
        <w:t xml:space="preserve"> </w:t>
      </w:r>
    </w:p>
    <w:p w:rsidR="0082408A" w:rsidRPr="0060711B" w:rsidRDefault="0082408A" w:rsidP="0060711B">
      <w:pPr>
        <w:tabs>
          <w:tab w:val="left" w:pos="1134"/>
          <w:tab w:val="left" w:pos="4962"/>
        </w:tabs>
        <w:spacing w:after="0" w:line="276" w:lineRule="auto"/>
        <w:jc w:val="both"/>
        <w:rPr>
          <w:rFonts w:ascii="Tahoma" w:hAnsi="Tahoma" w:cs="Tahoma"/>
          <w:bCs/>
          <w:iCs/>
          <w:color w:val="000000" w:themeColor="text1"/>
          <w:sz w:val="24"/>
          <w:szCs w:val="24"/>
        </w:rPr>
      </w:pPr>
    </w:p>
    <w:p w:rsidR="0082408A" w:rsidRPr="0060711B" w:rsidRDefault="0082408A" w:rsidP="0060711B">
      <w:pPr>
        <w:tabs>
          <w:tab w:val="left" w:pos="4962"/>
        </w:tabs>
        <w:spacing w:after="0" w:line="276" w:lineRule="auto"/>
        <w:jc w:val="both"/>
        <w:rPr>
          <w:rFonts w:ascii="Tahoma" w:hAnsi="Tahoma" w:cs="Tahoma"/>
          <w:bCs/>
          <w:iCs/>
          <w:color w:val="000000" w:themeColor="text1"/>
          <w:sz w:val="24"/>
          <w:szCs w:val="24"/>
        </w:rPr>
      </w:pPr>
      <w:r w:rsidRPr="0060711B">
        <w:rPr>
          <w:rFonts w:ascii="Tahoma" w:hAnsi="Tahoma" w:cs="Tahoma"/>
          <w:bCs/>
          <w:iCs/>
          <w:color w:val="000000" w:themeColor="text1"/>
          <w:sz w:val="24"/>
          <w:szCs w:val="24"/>
        </w:rPr>
        <w:t xml:space="preserve">Lo cual, se traduce en una concreta carga -de no hacer- impuesta a la autoridad fiscal, consistente en que al aplicar las disposiciones fiscales no deben revelar de ninguna forma información tributaria de los contribuyentes. De esta afirmación, destaca que, respecto del segundo predio afirmó la situación que del pago predial guarda el inmueble, por lo que cometió una violación al secreto fiscal que tiene encomendado por ley, pues al configurarse el secreto fiscal como una carga de no hacer, </w:t>
      </w:r>
      <w:r w:rsidRPr="0060711B">
        <w:rPr>
          <w:rFonts w:ascii="Tahoma" w:hAnsi="Tahoma" w:cs="Tahoma"/>
          <w:sz w:val="24"/>
          <w:szCs w:val="24"/>
          <w:lang w:eastAsia="es-CO"/>
        </w:rPr>
        <w:t xml:space="preserve">ni siquiera debió pronunciarse en el sentido de si los pagos del dicho inmueble se encuentran o no al corriente, toda vez que cualquier pronunciamiento en sentido </w:t>
      </w:r>
      <w:r w:rsidRPr="0060711B">
        <w:rPr>
          <w:rFonts w:ascii="Tahoma" w:hAnsi="Tahoma" w:cs="Tahoma"/>
          <w:sz w:val="24"/>
          <w:szCs w:val="24"/>
          <w:lang w:eastAsia="es-CO"/>
        </w:rPr>
        <w:lastRenderedPageBreak/>
        <w:t>positivo o negativo, actualiza la causal de clasificación confidencial, en los términos expresados.</w:t>
      </w:r>
    </w:p>
    <w:p w:rsidR="0082408A" w:rsidRPr="0060711B" w:rsidRDefault="0082408A" w:rsidP="0060711B">
      <w:pPr>
        <w:tabs>
          <w:tab w:val="left" w:pos="4962"/>
        </w:tabs>
        <w:spacing w:after="0" w:line="276" w:lineRule="auto"/>
        <w:jc w:val="both"/>
        <w:rPr>
          <w:rFonts w:ascii="Tahoma" w:hAnsi="Tahoma" w:cs="Tahoma"/>
          <w:bCs/>
          <w:iCs/>
          <w:color w:val="000000" w:themeColor="text1"/>
          <w:sz w:val="24"/>
          <w:szCs w:val="24"/>
        </w:rPr>
      </w:pPr>
    </w:p>
    <w:p w:rsidR="0082408A" w:rsidRPr="0060711B" w:rsidRDefault="0082408A" w:rsidP="0060711B">
      <w:pPr>
        <w:spacing w:after="0" w:line="276" w:lineRule="auto"/>
        <w:jc w:val="both"/>
        <w:rPr>
          <w:rFonts w:ascii="Tahoma" w:hAnsi="Tahoma" w:cs="Tahoma"/>
          <w:b/>
          <w:sz w:val="24"/>
          <w:szCs w:val="24"/>
        </w:rPr>
      </w:pPr>
      <w:r w:rsidRPr="0060711B">
        <w:rPr>
          <w:rFonts w:ascii="Tahoma" w:hAnsi="Tahoma" w:cs="Tahoma"/>
          <w:sz w:val="24"/>
          <w:szCs w:val="24"/>
        </w:rPr>
        <w:t xml:space="preserve">Con base en lo expuesto, los inmuebles motivo de la Resolución que nos ocupa, son propiedad de particulares, en donde no se advierte el uso de recursos públicos, por lo que, </w:t>
      </w:r>
      <w:r w:rsidRPr="0060711B">
        <w:rPr>
          <w:rFonts w:ascii="Tahoma" w:hAnsi="Tahoma" w:cs="Tahoma"/>
          <w:b/>
          <w:sz w:val="24"/>
          <w:szCs w:val="24"/>
        </w:rPr>
        <w:t>los documentos que obran en el Ayuntamiento (en su calidad de autoridad fiscal), en donde conste el pago que del impuesto predial realizaron los respectivos propietarios, actualiza el supuesto de confidencialidad establecido en el artículo 143, fracción II, de la Ley de Transparencia y Acceso a la Información Pública del Estado de México y Municipios.</w:t>
      </w:r>
    </w:p>
    <w:p w:rsidR="0082408A" w:rsidRPr="0060711B" w:rsidRDefault="0082408A" w:rsidP="0060711B">
      <w:pPr>
        <w:spacing w:after="0" w:line="276" w:lineRule="auto"/>
        <w:ind w:right="901"/>
        <w:jc w:val="both"/>
        <w:rPr>
          <w:rFonts w:ascii="Tahoma" w:hAnsi="Tahoma" w:cs="Tahoma"/>
          <w:sz w:val="24"/>
          <w:szCs w:val="24"/>
          <w:lang w:eastAsia="es-CO"/>
        </w:rPr>
      </w:pPr>
    </w:p>
    <w:p w:rsidR="0082408A" w:rsidRPr="0060711B" w:rsidRDefault="0082408A" w:rsidP="0060711B">
      <w:pPr>
        <w:spacing w:after="0" w:line="276" w:lineRule="auto"/>
        <w:jc w:val="both"/>
        <w:rPr>
          <w:rFonts w:ascii="Tahoma" w:hAnsi="Tahoma" w:cs="Tahoma"/>
          <w:sz w:val="24"/>
          <w:szCs w:val="24"/>
          <w:lang w:eastAsia="es-CO"/>
        </w:rPr>
      </w:pPr>
      <w:r w:rsidRPr="0060711B">
        <w:rPr>
          <w:rFonts w:ascii="Tahoma" w:hAnsi="Tahoma" w:cs="Tahoma"/>
          <w:sz w:val="24"/>
          <w:szCs w:val="24"/>
          <w:lang w:eastAsia="es-CO"/>
        </w:rPr>
        <w:t xml:space="preserve">Por tal motivo, la Resolución debió haber clasificado la documentación respecto del pago del impuesto predial, como confidencial con fundamento en la fracción II del artículo 143 de la Ley de Transparencia y Acceso a la Información Pública del Estado de México y Municipios, no así  por tratarse de datos personales. </w:t>
      </w:r>
    </w:p>
    <w:p w:rsidR="0082408A" w:rsidRPr="0060711B" w:rsidRDefault="0082408A" w:rsidP="0060711B">
      <w:pPr>
        <w:spacing w:after="0" w:line="276" w:lineRule="auto"/>
        <w:jc w:val="both"/>
        <w:rPr>
          <w:rFonts w:ascii="Tahoma" w:hAnsi="Tahoma" w:cs="Tahoma"/>
          <w:sz w:val="24"/>
          <w:szCs w:val="24"/>
        </w:rPr>
      </w:pPr>
    </w:p>
    <w:p w:rsidR="009E0861" w:rsidRPr="0060711B" w:rsidRDefault="009E0861" w:rsidP="0060711B">
      <w:pPr>
        <w:spacing w:after="0" w:line="276" w:lineRule="auto"/>
        <w:jc w:val="both"/>
        <w:rPr>
          <w:rFonts w:ascii="Tahoma" w:hAnsi="Tahoma" w:cs="Tahoma"/>
          <w:sz w:val="24"/>
          <w:szCs w:val="24"/>
        </w:rPr>
      </w:pPr>
      <w:r w:rsidRPr="0060711B">
        <w:rPr>
          <w:rFonts w:ascii="Tahoma" w:hAnsi="Tahoma" w:cs="Tahoma"/>
          <w:sz w:val="24"/>
          <w:szCs w:val="24"/>
        </w:rPr>
        <w:t xml:space="preserve">Así, con base en los razonamientos expuestos, </w:t>
      </w:r>
      <w:r w:rsidRPr="0060711B">
        <w:rPr>
          <w:rFonts w:ascii="Tahoma" w:hAnsi="Tahoma" w:cs="Tahoma"/>
          <w:b/>
          <w:sz w:val="24"/>
          <w:szCs w:val="24"/>
        </w:rPr>
        <w:t>se emite el presente Voto Particular</w:t>
      </w:r>
      <w:r w:rsidRPr="0060711B">
        <w:rPr>
          <w:rFonts w:ascii="Tahoma" w:hAnsi="Tahoma" w:cs="Tahoma"/>
          <w:sz w:val="24"/>
          <w:szCs w:val="24"/>
        </w:rPr>
        <w:t>.</w:t>
      </w:r>
    </w:p>
    <w:p w:rsidR="00553ADE" w:rsidRPr="0060711B" w:rsidRDefault="00553ADE" w:rsidP="0060711B">
      <w:pPr>
        <w:spacing w:after="0" w:line="276" w:lineRule="auto"/>
        <w:jc w:val="center"/>
        <w:rPr>
          <w:rFonts w:ascii="Tahoma" w:hAnsi="Tahoma" w:cs="Tahoma"/>
          <w:sz w:val="24"/>
          <w:szCs w:val="24"/>
        </w:rPr>
      </w:pPr>
    </w:p>
    <w:p w:rsidR="00553ADE" w:rsidRPr="0060711B" w:rsidRDefault="00553ADE" w:rsidP="0060711B">
      <w:pPr>
        <w:spacing w:after="0" w:line="276" w:lineRule="auto"/>
        <w:jc w:val="center"/>
        <w:rPr>
          <w:rFonts w:ascii="Tahoma" w:hAnsi="Tahoma" w:cs="Tahoma"/>
          <w:b/>
          <w:sz w:val="24"/>
          <w:szCs w:val="24"/>
        </w:rPr>
      </w:pPr>
      <w:r w:rsidRPr="0060711B">
        <w:rPr>
          <w:rFonts w:ascii="Tahoma" w:hAnsi="Tahoma" w:cs="Tahoma"/>
          <w:b/>
          <w:sz w:val="24"/>
          <w:szCs w:val="24"/>
        </w:rPr>
        <w:t>(Rúbrica)</w:t>
      </w:r>
    </w:p>
    <w:p w:rsidR="00553ADE" w:rsidRPr="0060711B" w:rsidRDefault="00553ADE" w:rsidP="0060711B">
      <w:pPr>
        <w:spacing w:after="0" w:line="276" w:lineRule="auto"/>
        <w:jc w:val="both"/>
        <w:rPr>
          <w:rFonts w:ascii="Tahoma" w:hAnsi="Tahoma" w:cs="Tahoma"/>
          <w:sz w:val="24"/>
          <w:szCs w:val="24"/>
        </w:rPr>
      </w:pPr>
    </w:p>
    <w:p w:rsidR="00553ADE" w:rsidRPr="0060711B" w:rsidRDefault="00553ADE" w:rsidP="0060711B">
      <w:pPr>
        <w:spacing w:after="0" w:line="276" w:lineRule="auto"/>
        <w:jc w:val="center"/>
        <w:rPr>
          <w:rFonts w:ascii="Tahoma" w:hAnsi="Tahoma" w:cs="Tahoma"/>
          <w:b/>
          <w:sz w:val="24"/>
          <w:szCs w:val="24"/>
        </w:rPr>
      </w:pPr>
      <w:r w:rsidRPr="0060711B">
        <w:rPr>
          <w:rFonts w:ascii="Tahoma" w:hAnsi="Tahoma" w:cs="Tahoma"/>
          <w:b/>
          <w:sz w:val="24"/>
          <w:szCs w:val="24"/>
        </w:rPr>
        <w:t>Luis Gustavo Parra Noriega</w:t>
      </w:r>
    </w:p>
    <w:p w:rsidR="00553ADE" w:rsidRPr="0060711B" w:rsidRDefault="00553ADE" w:rsidP="0060711B">
      <w:pPr>
        <w:spacing w:after="0" w:line="276" w:lineRule="auto"/>
        <w:jc w:val="center"/>
        <w:rPr>
          <w:rFonts w:ascii="Tahoma" w:hAnsi="Tahoma" w:cs="Tahoma"/>
          <w:sz w:val="24"/>
          <w:szCs w:val="24"/>
        </w:rPr>
      </w:pPr>
      <w:r w:rsidRPr="0060711B">
        <w:rPr>
          <w:rFonts w:ascii="Tahoma" w:hAnsi="Tahoma" w:cs="Tahoma"/>
          <w:sz w:val="24"/>
          <w:szCs w:val="24"/>
        </w:rPr>
        <w:t>Comisionado</w:t>
      </w:r>
    </w:p>
    <w:p w:rsidR="003512C9" w:rsidRPr="0060711B" w:rsidRDefault="003512C9" w:rsidP="0060711B">
      <w:pPr>
        <w:spacing w:after="0" w:line="276" w:lineRule="auto"/>
        <w:jc w:val="both"/>
        <w:rPr>
          <w:rFonts w:ascii="Tahoma" w:hAnsi="Tahoma" w:cs="Tahoma"/>
          <w:sz w:val="24"/>
          <w:szCs w:val="24"/>
        </w:rPr>
      </w:pPr>
    </w:p>
    <w:sectPr w:rsidR="003512C9" w:rsidRPr="0060711B" w:rsidSect="00950355">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3416" w:rsidRDefault="00FC3416" w:rsidP="00EE29F6">
      <w:pPr>
        <w:spacing w:after="0" w:line="240" w:lineRule="auto"/>
      </w:pPr>
      <w:r>
        <w:separator/>
      </w:r>
    </w:p>
  </w:endnote>
  <w:endnote w:type="continuationSeparator" w:id="0">
    <w:p w:rsidR="00FC3416" w:rsidRDefault="00FC3416"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rsidR="00AC333A" w:rsidRDefault="00AC333A">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6A06FC">
              <w:rPr>
                <w:b/>
                <w:bCs/>
                <w:noProof/>
              </w:rPr>
              <w:t>11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6A06FC">
              <w:rPr>
                <w:b/>
                <w:bCs/>
                <w:noProof/>
              </w:rPr>
              <w:t>11</w:t>
            </w:r>
            <w:r>
              <w:rPr>
                <w:b/>
                <w:bCs/>
                <w:sz w:val="24"/>
                <w:szCs w:val="24"/>
              </w:rPr>
              <w:fldChar w:fldCharType="end"/>
            </w:r>
          </w:p>
        </w:sdtContent>
      </w:sdt>
    </w:sdtContent>
  </w:sdt>
  <w:p w:rsidR="00AC333A" w:rsidRDefault="00AC333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3416" w:rsidRDefault="00FC3416" w:rsidP="00EE29F6">
      <w:pPr>
        <w:spacing w:after="0" w:line="240" w:lineRule="auto"/>
      </w:pPr>
      <w:r>
        <w:separator/>
      </w:r>
    </w:p>
  </w:footnote>
  <w:footnote w:type="continuationSeparator" w:id="0">
    <w:p w:rsidR="00FC3416" w:rsidRDefault="00FC3416" w:rsidP="00EE29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0"/>
      <w:gridCol w:w="6237"/>
    </w:tblGrid>
    <w:tr w:rsidR="0077694E" w:rsidRPr="001106EA" w:rsidTr="00543DF4">
      <w:trPr>
        <w:trHeight w:val="1843"/>
      </w:trPr>
      <w:tc>
        <w:tcPr>
          <w:tcW w:w="2830" w:type="dxa"/>
          <w:vAlign w:val="bottom"/>
        </w:tcPr>
        <w:p w:rsidR="0077694E" w:rsidRDefault="0077694E" w:rsidP="0077694E">
          <w:pPr>
            <w:pStyle w:val="Encabezado"/>
            <w:tabs>
              <w:tab w:val="clear" w:pos="4252"/>
              <w:tab w:val="center" w:pos="2614"/>
            </w:tabs>
            <w:ind w:left="-255"/>
          </w:pPr>
          <w:r>
            <w:rPr>
              <w:noProof/>
              <w:sz w:val="10"/>
              <w:szCs w:val="10"/>
              <w:lang w:val="es-MX" w:eastAsia="es-MX"/>
            </w:rPr>
            <w:drawing>
              <wp:inline distT="0" distB="0" distL="0" distR="0">
                <wp:extent cx="1873633" cy="11265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0616" cy="1160801"/>
                        </a:xfrm>
                        <a:prstGeom prst="rect">
                          <a:avLst/>
                        </a:prstGeom>
                      </pic:spPr>
                    </pic:pic>
                  </a:graphicData>
                </a:graphic>
              </wp:inline>
            </w:drawing>
          </w:r>
        </w:p>
        <w:p w:rsidR="0077694E" w:rsidRDefault="0077694E" w:rsidP="0077694E">
          <w:pPr>
            <w:pStyle w:val="Encabezado"/>
            <w:tabs>
              <w:tab w:val="clear" w:pos="4252"/>
              <w:tab w:val="center" w:pos="2614"/>
            </w:tabs>
          </w:pPr>
        </w:p>
      </w:tc>
      <w:tc>
        <w:tcPr>
          <w:tcW w:w="6237" w:type="dxa"/>
          <w:vAlign w:val="center"/>
        </w:tcPr>
        <w:p w:rsidR="001106EA" w:rsidRPr="001106EA" w:rsidRDefault="001106EA" w:rsidP="001106EA">
          <w:pPr>
            <w:pStyle w:val="Encabezado"/>
            <w:ind w:left="-108" w:right="-250"/>
            <w:jc w:val="both"/>
            <w:rPr>
              <w:rFonts w:ascii="Tahoma" w:hAnsi="Tahoma" w:cs="Tahoma"/>
            </w:rPr>
          </w:pPr>
        </w:p>
        <w:p w:rsidR="001106EA" w:rsidRPr="001106EA" w:rsidRDefault="001106EA" w:rsidP="001106EA">
          <w:pPr>
            <w:pStyle w:val="Encabezado"/>
            <w:ind w:left="-108" w:right="-250"/>
            <w:jc w:val="both"/>
            <w:rPr>
              <w:rFonts w:ascii="Tahoma" w:hAnsi="Tahoma" w:cs="Tahoma"/>
              <w:b/>
            </w:rPr>
          </w:pPr>
          <w:r w:rsidRPr="001106EA">
            <w:rPr>
              <w:rFonts w:ascii="Tahoma" w:hAnsi="Tahoma" w:cs="Tahoma"/>
              <w:b/>
            </w:rPr>
            <w:t>Voto Particular</w:t>
          </w:r>
        </w:p>
        <w:p w:rsidR="0077694E" w:rsidRDefault="001106EA" w:rsidP="00962B86">
          <w:pPr>
            <w:pStyle w:val="Encabezado"/>
            <w:ind w:left="-108" w:right="-250"/>
            <w:jc w:val="both"/>
            <w:rPr>
              <w:rFonts w:ascii="Tahoma" w:hAnsi="Tahoma" w:cs="Tahoma"/>
              <w:b/>
            </w:rPr>
          </w:pPr>
          <w:r w:rsidRPr="001106EA">
            <w:rPr>
              <w:rFonts w:ascii="Tahoma" w:hAnsi="Tahoma" w:cs="Tahoma"/>
              <w:b/>
            </w:rPr>
            <w:t>Recurso de Revisión: 0</w:t>
          </w:r>
          <w:r w:rsidR="00D50D8F">
            <w:rPr>
              <w:rFonts w:ascii="Tahoma" w:hAnsi="Tahoma" w:cs="Tahoma"/>
              <w:b/>
            </w:rPr>
            <w:t>2746</w:t>
          </w:r>
          <w:r w:rsidRPr="001106EA">
            <w:rPr>
              <w:rFonts w:ascii="Tahoma" w:hAnsi="Tahoma" w:cs="Tahoma"/>
              <w:b/>
            </w:rPr>
            <w:t>/INFOEM/IP/RR/2018</w:t>
          </w:r>
        </w:p>
        <w:p w:rsidR="006F754E" w:rsidRPr="001106EA" w:rsidRDefault="006F754E" w:rsidP="00962B86">
          <w:pPr>
            <w:pStyle w:val="Encabezado"/>
            <w:ind w:left="-108" w:right="-250"/>
            <w:jc w:val="both"/>
            <w:rPr>
              <w:rFonts w:ascii="Tahoma" w:hAnsi="Tahoma" w:cs="Tahoma"/>
            </w:rPr>
          </w:pPr>
          <w:r>
            <w:rPr>
              <w:rFonts w:ascii="Tahoma" w:hAnsi="Tahoma" w:cs="Tahoma"/>
              <w:b/>
            </w:rPr>
            <w:t xml:space="preserve">Comisionada Ponente: Eva </w:t>
          </w:r>
          <w:proofErr w:type="spellStart"/>
          <w:r>
            <w:rPr>
              <w:rFonts w:ascii="Tahoma" w:hAnsi="Tahoma" w:cs="Tahoma"/>
              <w:b/>
            </w:rPr>
            <w:t>Abaid</w:t>
          </w:r>
          <w:proofErr w:type="spellEnd"/>
          <w:r>
            <w:rPr>
              <w:rFonts w:ascii="Tahoma" w:hAnsi="Tahoma" w:cs="Tahoma"/>
              <w:b/>
            </w:rPr>
            <w:t xml:space="preserve"> </w:t>
          </w:r>
          <w:proofErr w:type="spellStart"/>
          <w:r>
            <w:rPr>
              <w:rFonts w:ascii="Tahoma" w:hAnsi="Tahoma" w:cs="Tahoma"/>
              <w:b/>
            </w:rPr>
            <w:t>Yapur</w:t>
          </w:r>
          <w:proofErr w:type="spellEnd"/>
        </w:p>
      </w:tc>
    </w:tr>
  </w:tbl>
  <w:p w:rsidR="00D55429" w:rsidRPr="001106EA" w:rsidRDefault="00D55429">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4"/>
  </w:num>
  <w:num w:numId="4">
    <w:abstractNumId w:val="0"/>
  </w:num>
  <w:num w:numId="5">
    <w:abstractNumId w:val="8"/>
  </w:num>
  <w:num w:numId="6">
    <w:abstractNumId w:val="3"/>
  </w:num>
  <w:num w:numId="7">
    <w:abstractNumId w:val="6"/>
  </w:num>
  <w:num w:numId="8">
    <w:abstractNumId w:val="12"/>
  </w:num>
  <w:num w:numId="9">
    <w:abstractNumId w:val="9"/>
  </w:num>
  <w:num w:numId="10">
    <w:abstractNumId w:val="10"/>
  </w:num>
  <w:num w:numId="11">
    <w:abstractNumId w:val="11"/>
  </w:num>
  <w:num w:numId="12">
    <w:abstractNumId w:val="1"/>
  </w:num>
  <w:num w:numId="13">
    <w:abstractNumId w:val="5"/>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F6"/>
    <w:rsid w:val="00006F73"/>
    <w:rsid w:val="00020D08"/>
    <w:rsid w:val="0002627D"/>
    <w:rsid w:val="0002759D"/>
    <w:rsid w:val="000301C6"/>
    <w:rsid w:val="00060F74"/>
    <w:rsid w:val="0006561A"/>
    <w:rsid w:val="0008225F"/>
    <w:rsid w:val="00087AC8"/>
    <w:rsid w:val="00097988"/>
    <w:rsid w:val="000B235B"/>
    <w:rsid w:val="000B7F6F"/>
    <w:rsid w:val="000C10B7"/>
    <w:rsid w:val="000D186F"/>
    <w:rsid w:val="0010688C"/>
    <w:rsid w:val="001106EA"/>
    <w:rsid w:val="001159DC"/>
    <w:rsid w:val="00116E1A"/>
    <w:rsid w:val="00136AD8"/>
    <w:rsid w:val="0014038B"/>
    <w:rsid w:val="00140A57"/>
    <w:rsid w:val="0014736A"/>
    <w:rsid w:val="00162325"/>
    <w:rsid w:val="00164625"/>
    <w:rsid w:val="00164BFE"/>
    <w:rsid w:val="0018472D"/>
    <w:rsid w:val="00193AA8"/>
    <w:rsid w:val="00197A72"/>
    <w:rsid w:val="001A145C"/>
    <w:rsid w:val="001A6BD9"/>
    <w:rsid w:val="001C1C64"/>
    <w:rsid w:val="001F4EB0"/>
    <w:rsid w:val="00231B68"/>
    <w:rsid w:val="00243A13"/>
    <w:rsid w:val="00246FAF"/>
    <w:rsid w:val="0028037C"/>
    <w:rsid w:val="00280A9C"/>
    <w:rsid w:val="002816CB"/>
    <w:rsid w:val="00295BA5"/>
    <w:rsid w:val="002A138B"/>
    <w:rsid w:val="002A1727"/>
    <w:rsid w:val="002A2EE7"/>
    <w:rsid w:val="002C2405"/>
    <w:rsid w:val="002E5A1A"/>
    <w:rsid w:val="00333B7A"/>
    <w:rsid w:val="0034196E"/>
    <w:rsid w:val="003512C9"/>
    <w:rsid w:val="0036006F"/>
    <w:rsid w:val="003A6218"/>
    <w:rsid w:val="003B6547"/>
    <w:rsid w:val="003B7A5E"/>
    <w:rsid w:val="003F2426"/>
    <w:rsid w:val="003F48C2"/>
    <w:rsid w:val="0040139C"/>
    <w:rsid w:val="00412CB2"/>
    <w:rsid w:val="004211BB"/>
    <w:rsid w:val="00433746"/>
    <w:rsid w:val="00434C88"/>
    <w:rsid w:val="00435E69"/>
    <w:rsid w:val="00445BDF"/>
    <w:rsid w:val="00447F6F"/>
    <w:rsid w:val="00490F50"/>
    <w:rsid w:val="004A4555"/>
    <w:rsid w:val="004A555E"/>
    <w:rsid w:val="004B08C4"/>
    <w:rsid w:val="004B541F"/>
    <w:rsid w:val="004C4912"/>
    <w:rsid w:val="004C6E57"/>
    <w:rsid w:val="004E7007"/>
    <w:rsid w:val="00524DA5"/>
    <w:rsid w:val="00526DBD"/>
    <w:rsid w:val="00543DF4"/>
    <w:rsid w:val="00544812"/>
    <w:rsid w:val="00553ADE"/>
    <w:rsid w:val="0056120D"/>
    <w:rsid w:val="00582CCB"/>
    <w:rsid w:val="00584D73"/>
    <w:rsid w:val="0059329D"/>
    <w:rsid w:val="005A2510"/>
    <w:rsid w:val="005C094E"/>
    <w:rsid w:val="005C3930"/>
    <w:rsid w:val="005C73EE"/>
    <w:rsid w:val="005D11C8"/>
    <w:rsid w:val="005E2798"/>
    <w:rsid w:val="00600164"/>
    <w:rsid w:val="00605683"/>
    <w:rsid w:val="0060711B"/>
    <w:rsid w:val="006248F2"/>
    <w:rsid w:val="00624DE5"/>
    <w:rsid w:val="00645087"/>
    <w:rsid w:val="00654ACD"/>
    <w:rsid w:val="00657396"/>
    <w:rsid w:val="00663645"/>
    <w:rsid w:val="00682003"/>
    <w:rsid w:val="00684B16"/>
    <w:rsid w:val="006A06FC"/>
    <w:rsid w:val="006D5B7A"/>
    <w:rsid w:val="006F5316"/>
    <w:rsid w:val="006F754E"/>
    <w:rsid w:val="00724F08"/>
    <w:rsid w:val="007378E2"/>
    <w:rsid w:val="00742A15"/>
    <w:rsid w:val="0077694E"/>
    <w:rsid w:val="00796A29"/>
    <w:rsid w:val="007A2D13"/>
    <w:rsid w:val="007C571E"/>
    <w:rsid w:val="007D3257"/>
    <w:rsid w:val="007D68AF"/>
    <w:rsid w:val="007F1C1D"/>
    <w:rsid w:val="007F7D80"/>
    <w:rsid w:val="0082408A"/>
    <w:rsid w:val="00836BC2"/>
    <w:rsid w:val="00861757"/>
    <w:rsid w:val="00890A7E"/>
    <w:rsid w:val="00891412"/>
    <w:rsid w:val="008A0447"/>
    <w:rsid w:val="008A1DE1"/>
    <w:rsid w:val="008A3DA9"/>
    <w:rsid w:val="008B08C9"/>
    <w:rsid w:val="008E54E2"/>
    <w:rsid w:val="009039FE"/>
    <w:rsid w:val="00922B2E"/>
    <w:rsid w:val="00927BD1"/>
    <w:rsid w:val="0093480E"/>
    <w:rsid w:val="00950355"/>
    <w:rsid w:val="00954BF1"/>
    <w:rsid w:val="00962B86"/>
    <w:rsid w:val="00974836"/>
    <w:rsid w:val="009943E1"/>
    <w:rsid w:val="009B22ED"/>
    <w:rsid w:val="009B2C0B"/>
    <w:rsid w:val="009C0313"/>
    <w:rsid w:val="009D07E2"/>
    <w:rsid w:val="009D49BE"/>
    <w:rsid w:val="009E0861"/>
    <w:rsid w:val="009E41F7"/>
    <w:rsid w:val="00A364BA"/>
    <w:rsid w:val="00A5061A"/>
    <w:rsid w:val="00A67498"/>
    <w:rsid w:val="00A742D1"/>
    <w:rsid w:val="00A87924"/>
    <w:rsid w:val="00A96933"/>
    <w:rsid w:val="00AA090B"/>
    <w:rsid w:val="00AC333A"/>
    <w:rsid w:val="00AD25D5"/>
    <w:rsid w:val="00AF3B6B"/>
    <w:rsid w:val="00B263C5"/>
    <w:rsid w:val="00B63634"/>
    <w:rsid w:val="00B67355"/>
    <w:rsid w:val="00B7393F"/>
    <w:rsid w:val="00B761B1"/>
    <w:rsid w:val="00BB6EE3"/>
    <w:rsid w:val="00BC4882"/>
    <w:rsid w:val="00BC55D2"/>
    <w:rsid w:val="00BD06FC"/>
    <w:rsid w:val="00BD4705"/>
    <w:rsid w:val="00BD5DBE"/>
    <w:rsid w:val="00C0131C"/>
    <w:rsid w:val="00C30FD6"/>
    <w:rsid w:val="00C31FEE"/>
    <w:rsid w:val="00C55FFC"/>
    <w:rsid w:val="00C75CE0"/>
    <w:rsid w:val="00CA7627"/>
    <w:rsid w:val="00CB51A8"/>
    <w:rsid w:val="00CC68E1"/>
    <w:rsid w:val="00CD4339"/>
    <w:rsid w:val="00CE50F9"/>
    <w:rsid w:val="00CF11EE"/>
    <w:rsid w:val="00D05740"/>
    <w:rsid w:val="00D07F4A"/>
    <w:rsid w:val="00D13875"/>
    <w:rsid w:val="00D15D07"/>
    <w:rsid w:val="00D160F2"/>
    <w:rsid w:val="00D357E1"/>
    <w:rsid w:val="00D37CDC"/>
    <w:rsid w:val="00D45BDF"/>
    <w:rsid w:val="00D50D8F"/>
    <w:rsid w:val="00D51426"/>
    <w:rsid w:val="00D55429"/>
    <w:rsid w:val="00D65D0C"/>
    <w:rsid w:val="00D666D4"/>
    <w:rsid w:val="00D7239D"/>
    <w:rsid w:val="00D75FAE"/>
    <w:rsid w:val="00D77F63"/>
    <w:rsid w:val="00D9114A"/>
    <w:rsid w:val="00DA11C0"/>
    <w:rsid w:val="00DF6CA0"/>
    <w:rsid w:val="00E145E1"/>
    <w:rsid w:val="00E26123"/>
    <w:rsid w:val="00E34559"/>
    <w:rsid w:val="00E345D1"/>
    <w:rsid w:val="00E41481"/>
    <w:rsid w:val="00E416F8"/>
    <w:rsid w:val="00E656C1"/>
    <w:rsid w:val="00E82F77"/>
    <w:rsid w:val="00E83683"/>
    <w:rsid w:val="00EA7E26"/>
    <w:rsid w:val="00EB7128"/>
    <w:rsid w:val="00EE29F6"/>
    <w:rsid w:val="00F14384"/>
    <w:rsid w:val="00FB3044"/>
    <w:rsid w:val="00FB59D6"/>
    <w:rsid w:val="00FC1D9D"/>
    <w:rsid w:val="00FC3416"/>
    <w:rsid w:val="00FD1849"/>
    <w:rsid w:val="00FD3150"/>
    <w:rsid w:val="00FD530D"/>
    <w:rsid w:val="00FF22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063348A-ADB3-42DB-AF77-85F05C723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3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basedOn w:val="Normal"/>
    <w:uiPriority w:val="34"/>
    <w:qFormat/>
    <w:rsid w:val="00524DA5"/>
    <w:pPr>
      <w:ind w:left="720"/>
      <w:contextualSpacing/>
    </w:pPr>
  </w:style>
  <w:style w:type="paragraph" w:styleId="Textonotapie">
    <w:name w:val="footnote text"/>
    <w:basedOn w:val="Normal"/>
    <w:link w:val="TextonotapieCar"/>
    <w:uiPriority w:val="99"/>
    <w:semiHidden/>
    <w:unhideWhenUsed/>
    <w:rsid w:val="009943E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943E1"/>
    <w:rPr>
      <w:sz w:val="20"/>
      <w:szCs w:val="20"/>
    </w:rPr>
  </w:style>
  <w:style w:type="character" w:styleId="Refdenotaalpie">
    <w:name w:val="footnote reference"/>
    <w:basedOn w:val="Fuentedeprrafopredeter"/>
    <w:uiPriority w:val="99"/>
    <w:semiHidden/>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606CC1-1B4B-4DE4-A08F-98823267F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11</Pages>
  <Words>3617</Words>
  <Characters>19899</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13</cp:revision>
  <cp:lastPrinted>2018-10-01T19:36:00Z</cp:lastPrinted>
  <dcterms:created xsi:type="dcterms:W3CDTF">2018-10-15T16:24:00Z</dcterms:created>
  <dcterms:modified xsi:type="dcterms:W3CDTF">2018-10-15T17:51:00Z</dcterms:modified>
</cp:coreProperties>
</file>